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8A"/>
          <w:sz w:val="40"/>
        </w:rPr>
        <w:t>MASTER SERVICES AGREEMENT</w:t>
      </w:r>
    </w:p>
    <w:p>
      <w:r>
        <w:rPr>
          <w:i/>
          <w:sz w:val="22"/>
        </w:rPr>
        <w:t>between</w:t>
      </w:r>
    </w:p>
    <w:p>
      <w:r>
        <w:rPr>
          <w:b/>
          <w:sz w:val="22"/>
        </w:rPr>
        <w:t>CONTOSO INVESTMENT BANK BERHAD (Company No. 200001234567 (88899-A))</w:t>
      </w:r>
    </w:p>
    <w:p>
      <w:r>
        <w:rPr>
          <w:sz w:val="22"/>
        </w:rPr>
        <w:t>Level 17, Contoso Tower, 237 Jalan Tun Razak, 50400 Kuala Lumpur, Malaysia</w:t>
      </w:r>
    </w:p>
    <w:p>
      <w:r>
        <w:rPr>
          <w:i/>
          <w:sz w:val="22"/>
        </w:rPr>
        <w:t>("the Bank" or "Contoso")</w:t>
      </w:r>
    </w:p>
    <w:p>
      <w:r>
        <w:rPr>
          <w:i/>
          <w:sz w:val="22"/>
        </w:rPr>
        <w:t>and</w:t>
      </w:r>
    </w:p>
    <w:p>
      <w:r>
        <w:rPr>
          <w:b/>
          <w:sz w:val="22"/>
        </w:rPr>
        <w:t>QUANTUMSTREAM TECHNOLOGIES SDN BHD (Company No. 201501045678 (1167890-V))</w:t>
      </w:r>
    </w:p>
    <w:p>
      <w:r>
        <w:rPr>
          <w:sz w:val="22"/>
        </w:rPr>
        <w:t>Level 22, Menara Symphony, No. 5 Jalan Prof. Khoo Kay Kim, 46050 Petaling Jaya, Selangor</w:t>
      </w:r>
    </w:p>
    <w:p>
      <w:r>
        <w:rPr>
          <w:i/>
          <w:sz w:val="22"/>
        </w:rPr>
        <w:t>("the Service Provider" or "QuantumStream")</w:t>
      </w:r>
    </w:p>
    <w:p>
      <w:r>
        <w:rPr>
          <w:sz w:val="22"/>
        </w:rPr>
      </w:r>
    </w:p>
    <w:p>
      <w:r>
        <w:rPr>
          <w:b/>
          <w:sz w:val="22"/>
        </w:rPr>
        <w:t>Effective Date: 1 February 2024</w:t>
      </w:r>
    </w:p>
    <w:p>
      <w:r>
        <w:rPr>
          <w:b/>
          <w:sz w:val="22"/>
        </w:rPr>
        <w:t>Initial Term: Three (3) years from the Effective Date</w:t>
      </w:r>
    </w:p>
    <w:p>
      <w:r>
        <w:rPr>
          <w:b/>
          <w:sz w:val="22"/>
        </w:rPr>
        <w:t>Total Contract Value: RM 8,640,000 over the Initial Term (RM 240,000 per month)</w:t>
      </w:r>
    </w:p>
    <w:p>
      <w:r>
        <w:rPr>
          <w:i/>
          <w:sz w:val="22"/>
        </w:rPr>
        <w:t>Service Description: Provision of real-time market data, low-latency order routing, trade-surveillance analytics, and managed Bloomberg/Refinitiv feed integration to the Bank's Equities, Derivatives and Asset Management businesses.</w:t>
      </w:r>
    </w:p>
    <w:p>
      <w:r>
        <w:br w:type="page"/>
      </w:r>
    </w:p>
    <w:p>
      <w:r>
        <w:rPr>
          <w:b/>
          <w:color w:val="1E3A8A"/>
          <w:sz w:val="30"/>
        </w:rPr>
        <w:t>1.  DEFINITIONS AND INTERPRETATION</w:t>
      </w:r>
    </w:p>
    <w:p>
      <w:r>
        <w:rPr>
          <w:sz w:val="22"/>
        </w:rPr>
        <w:t>1.1 In this Agreement, unless the context otherwise requires:</w:t>
      </w:r>
    </w:p>
    <w:p>
      <w:r>
        <w:rPr>
          <w:sz w:val="22"/>
        </w:rPr>
        <w:t xml:space="preserve">  "BNM" means Bank Negara Malaysia.</w:t>
      </w:r>
    </w:p>
    <w:p>
      <w:r>
        <w:rPr>
          <w:sz w:val="22"/>
        </w:rPr>
        <w:t xml:space="preserve">  "BNM Outsourcing Policy" means the BNM Policy Document on Outsourcing issued under the Financial Services Act 2013, as amended from time to time.</w:t>
      </w:r>
    </w:p>
    <w:p>
      <w:r>
        <w:rPr>
          <w:sz w:val="22"/>
        </w:rPr>
        <w:t xml:space="preserve">  "Confidential Information" means all non-public information disclosed by either Party.</w:t>
      </w:r>
    </w:p>
    <w:p>
      <w:r>
        <w:rPr>
          <w:sz w:val="22"/>
        </w:rPr>
        <w:t xml:space="preserve">  "Customer Data" means any information, data, records or content relating to the Bank's customers, accounts, trading activity, positions, and transactions, including all derivatives, derivations, aggregations and analytics produced therefrom.</w:t>
      </w:r>
    </w:p>
    <w:p>
      <w:r>
        <w:rPr>
          <w:sz w:val="22"/>
        </w:rPr>
        <w:t xml:space="preserve">  "Material Adverse Event" means any event having a material adverse effect on the Service Provider's ability to deliver the Services.</w:t>
      </w:r>
    </w:p>
    <w:p>
      <w:r>
        <w:rPr>
          <w:b/>
          <w:color w:val="1E3A8A"/>
          <w:sz w:val="30"/>
        </w:rPr>
        <w:t>2.  SERVICES</w:t>
      </w:r>
    </w:p>
    <w:p>
      <w:r>
        <w:rPr>
          <w:sz w:val="22"/>
        </w:rPr>
        <w:t>2.1 The Service Provider shall provide the services described in Schedule 1 (the "Services") to the Bank in accordance with the service levels set out in Schedule 2.</w:t>
      </w:r>
    </w:p>
    <w:p>
      <w:r>
        <w:rPr>
          <w:sz w:val="22"/>
        </w:rPr>
        <w:t>2.2 The Services include the operation of front-office market data terminals, FIX order-routing connectivity to Bursa Malaysia, Bursa Derivatives, SGX, HKEX and CME, and a hosted trade-surveillance and best-execution analytics platform.</w:t>
      </w:r>
    </w:p>
    <w:p>
      <w:r>
        <w:rPr>
          <w:sz w:val="22"/>
        </w:rPr>
        <w:t>2.3 The Service Provider acknowledges that the Services constitute a "material outsourcing arrangement" within the meaning of the BNM Outsourcing Policy.</w:t>
      </w:r>
    </w:p>
    <w:p>
      <w:r>
        <w:rPr>
          <w:b/>
          <w:color w:val="1E3A8A"/>
          <w:sz w:val="30"/>
        </w:rPr>
        <w:t>3.  TERM</w:t>
      </w:r>
    </w:p>
    <w:p>
      <w:r>
        <w:rPr>
          <w:sz w:val="22"/>
        </w:rPr>
        <w:t>3.1 This Agreement shall commence on the Effective Date and, subject to earlier termination in accordance with its terms, shall continue for the Initial Term.</w:t>
      </w:r>
    </w:p>
    <w:p>
      <w:r>
        <w:rPr>
          <w:b/>
          <w:color w:val="1E3A8A"/>
          <w:sz w:val="30"/>
        </w:rPr>
        <w:t>4.  FEES AND PAYMENT</w:t>
      </w:r>
    </w:p>
    <w:p>
      <w:r>
        <w:rPr>
          <w:sz w:val="22"/>
        </w:rPr>
        <w:t>4.1 The Bank shall pay the Service Provider monthly fees of RM 240,000 in arrears, within thirty (30) days of receipt of a valid tax invoice.</w:t>
      </w:r>
    </w:p>
    <w:p>
      <w:r>
        <w:rPr>
          <w:b/>
          <w:sz w:val="22"/>
        </w:rPr>
        <w:t>4.2 The fees shall be subject to an annual escalation of seven per cent (7%) on each anniversary of the Effective Date.</w:t>
      </w:r>
    </w:p>
    <w:p>
      <w:r>
        <w:rPr>
          <w:i/>
          <w:color w:val="64748B"/>
          <w:sz w:val="22"/>
        </w:rPr>
        <w:t>[Contoso Group Outsourcing Policy §4.3 caps annual price escalation at 3.0% or CPI, whichever is lower. The 7% rate breaches policy.]</w:t>
      </w:r>
    </w:p>
    <w:p>
      <w:r>
        <w:rPr>
          <w:b/>
          <w:color w:val="1E3A8A"/>
          <w:sz w:val="30"/>
        </w:rPr>
        <w:t>5.  RENEWAL AND TERMINATION</w:t>
      </w:r>
    </w:p>
    <w:p>
      <w:r>
        <w:rPr>
          <w:b/>
          <w:sz w:val="22"/>
        </w:rPr>
        <w:t>5.1 Upon expiry of the Initial Term, this Agreement shall automatically renew for successive periods of twelve (12) months each (each a "Renewal Term") unless either Party serves written notice of non-renewal not less than forty-five (45) days before the expiry of the then-current term.</w:t>
      </w:r>
    </w:p>
    <w:p>
      <w:r>
        <w:rPr>
          <w:i/>
          <w:color w:val="64748B"/>
          <w:sz w:val="22"/>
        </w:rPr>
        <w:t>[Contoso Group Outsourcing Policy §6.2 mandates a minimum 90-day non-renewal notice period for material outsourcing arrangements. 45 days breaches policy and gives the Bank insufficient time to run a replacement RFP under BNM exit-strategy expectations.]</w:t>
      </w:r>
    </w:p>
    <w:p>
      <w:r>
        <w:rPr>
          <w:sz w:val="22"/>
        </w:rPr>
        <w:t>5.2 The Bank may terminate this Agreement for material breach upon ninety (90) days' written notice if the Service Provider fails to remedy the breach during the notice period.</w:t>
      </w:r>
    </w:p>
    <w:p>
      <w:r>
        <w:rPr>
          <w:sz w:val="22"/>
        </w:rPr>
        <w:t>5.3 Termination for convenience by the Bank shall require payment of an early termination fee equal to the lesser of (a) twelve (12) months of fees, or (b) the balance of fees payable to the end of the then-current term.</w:t>
      </w:r>
    </w:p>
    <w:p>
      <w:r>
        <w:rPr>
          <w:b/>
          <w:color w:val="1E3A8A"/>
          <w:sz w:val="30"/>
        </w:rPr>
        <w:t>6.  DATA OWNERSHIP, LOCATION AND ACCESS</w:t>
      </w:r>
    </w:p>
    <w:p>
      <w:r>
        <w:rPr>
          <w:sz w:val="22"/>
        </w:rPr>
        <w:t>6.1 All intellectual property in the QuantumStream platform, including any proprietary algorithms, dashboards and analytics models, shall remain the sole property of the Service Provider.</w:t>
      </w:r>
    </w:p>
    <w:p>
      <w:r>
        <w:rPr>
          <w:b/>
          <w:sz w:val="22"/>
        </w:rPr>
        <w:t>6.2 Notwithstanding clause 6.1, all derived analytics, surveillance outputs, machine-learning models trained on the Bank's order-flow data, and aggregated behavioural data sets generated by the platform shall vest in the Service Provider, with the Bank receiving a non-exclusive licence to use such outputs during the term of this Agreement only.</w:t>
      </w:r>
    </w:p>
    <w:p>
      <w:r>
        <w:rPr>
          <w:i/>
          <w:color w:val="64748B"/>
          <w:sz w:val="22"/>
        </w:rPr>
        <w:t>[Contoso Group Outsourcing Policy §7.1 requires that all Customer Data and any data derived from Customer Data remain the property of the Bank, with the service provider granted only a limited licence to process the data for the purpose of delivering the Services. This clause inverts that position and creates a material data-ownership and customer-confidentiality risk under BNM Outsourcing Policy and PDPA 2010.]</w:t>
      </w:r>
    </w:p>
    <w:p>
      <w:r>
        <w:rPr>
          <w:b/>
          <w:sz w:val="22"/>
        </w:rPr>
        <w:t>6.3 The Service Provider may host the Bank's data in any of its data centres located in Malaysia, Singapore, Hong Kong or the Republic of Ireland, at the Service Provider's discretion. The Service Provider shall provide the Bank with thirty (30) days' notice of any change in primary hosting location.</w:t>
      </w:r>
    </w:p>
    <w:p>
      <w:r>
        <w:rPr>
          <w:i/>
          <w:color w:val="64748B"/>
          <w:sz w:val="22"/>
        </w:rPr>
        <w:t>[BNM Outsourcing Policy requires prior written consent from BNM for any cross-border outsourcing of material activities, and Contoso Group Outsourcing Policy §7.4 requires Customer Data of Malaysian customers to be hosted within Malaysia by default. Sole discretion to relocate, with only 30 days' notice, breaches both.]</w:t>
      </w:r>
    </w:p>
    <w:p>
      <w:r>
        <w:rPr>
          <w:b/>
          <w:color w:val="1E3A8A"/>
          <w:sz w:val="30"/>
        </w:rPr>
        <w:t>7.  AUDIT, INSPECTION AND REGULATORY ACCESS</w:t>
      </w:r>
    </w:p>
    <w:p>
      <w:r>
        <w:rPr>
          <w:b/>
          <w:sz w:val="22"/>
        </w:rPr>
        <w:t>7.1 The Bank may, upon not less than sixty (60) days' written notice, conduct an audit of the Service Provider's controls relevant to the Services, no more than once per calendar year. The Service Provider may charge the Bank its reasonable costs of supporting the audit.</w:t>
      </w:r>
    </w:p>
    <w:p>
      <w:r>
        <w:rPr>
          <w:i/>
          <w:color w:val="64748B"/>
          <w:sz w:val="22"/>
        </w:rPr>
        <w:t>[BNM Outsourcing Policy and Contoso Group Outsourcing Policy §8 require: (a) right of access at any time without prior notice in the event of suspected fraud, regulatory investigation, or critical incident; (b) explicit right of access for BNM and any other Malaysian regulator; (c) audit support to be provided at no cost. This clause fails on all three.]</w:t>
      </w:r>
    </w:p>
    <w:p>
      <w:r>
        <w:rPr>
          <w:sz w:val="22"/>
        </w:rPr>
        <w:t>7.2 The Service Provider shall not be required to provide access to its source code, underlying infrastructure, or any data centre operated by it.</w:t>
      </w:r>
    </w:p>
    <w:p>
      <w:r>
        <w:rPr>
          <w:b/>
          <w:color w:val="1E3A8A"/>
          <w:sz w:val="30"/>
        </w:rPr>
        <w:t>8.  SERVICE LEVELS AND BUSINESS CONTINUITY</w:t>
      </w:r>
    </w:p>
    <w:p>
      <w:r>
        <w:rPr>
          <w:b/>
          <w:sz w:val="22"/>
        </w:rPr>
        <w:t>8.1 The Service Provider shall use commercially reasonable endeavours to maintain platform availability of 99.5% measured monthly during Bursa trading hours.</w:t>
      </w:r>
    </w:p>
    <w:p>
      <w:r>
        <w:rPr>
          <w:i/>
          <w:color w:val="64748B"/>
          <w:sz w:val="22"/>
        </w:rPr>
        <w:t>[Contoso Group Outsourcing Policy §9.1 requires a minimum 99.9% availability for front-office trading and market-data services during market hours, with credit remedies for any breach. 99.5% allows up to ~22 minutes of outage per trading day.]</w:t>
      </w:r>
    </w:p>
    <w:p>
      <w:r>
        <w:rPr>
          <w:b/>
          <w:sz w:val="22"/>
        </w:rPr>
        <w:t>8.2 In the event of a Material Adverse Event affecting the Service Provider's primary site, recovery time objective (RTO) shall be twenty-four (24) hours.</w:t>
      </w:r>
    </w:p>
    <w:p>
      <w:r>
        <w:rPr>
          <w:i/>
          <w:color w:val="64748B"/>
          <w:sz w:val="22"/>
        </w:rPr>
        <w:t>[Contoso Group Outsourcing Policy §9.2 requires a maximum RTO of 2 hours for front-office and 4 hours for back-office systems classified as material outsourcing under BNM. 24 hours is materially below regulatory expectation.]</w:t>
      </w:r>
    </w:p>
    <w:p>
      <w:r>
        <w:rPr>
          <w:b/>
          <w:color w:val="1E3A8A"/>
          <w:sz w:val="30"/>
        </w:rPr>
        <w:t>9.  LIABILITY</w:t>
      </w:r>
    </w:p>
    <w:p>
      <w:r>
        <w:rPr>
          <w:b/>
          <w:sz w:val="22"/>
        </w:rPr>
        <w:t>9.1 The aggregate liability of either Party under or in connection with this Agreement, whether in contract, tort (including negligence), breach of statutory duty or otherwise, shall not exceed an amount equal to six (6) months of fees payable under this Agreement, being approximately RM 1,440,000.</w:t>
      </w:r>
    </w:p>
    <w:p>
      <w:r>
        <w:rPr>
          <w:i/>
          <w:color w:val="64748B"/>
          <w:sz w:val="22"/>
        </w:rPr>
        <w:t>[Contoso Group Outsourcing Policy §10.1 requires a minimum liability cap of 12 months of fees (~RM 2.88m) for material outsourcing, with uncapped liability for breach of data confidentiality obligations and gross negligence. This clause caps everything at 6 months and contains no carve-out.]</w:t>
      </w:r>
    </w:p>
    <w:p>
      <w:r>
        <w:rPr>
          <w:b/>
          <w:sz w:val="22"/>
        </w:rPr>
        <w:t>9.2 In no event shall either Party be liable for indirect, consequential, special, incidental or punitive damages, loss of profit, loss of business, loss of customer data, or loss of reputation, even if advised of the possibility of such damages.</w:t>
      </w:r>
    </w:p>
    <w:p>
      <w:r>
        <w:rPr>
          <w:i/>
          <w:color w:val="64748B"/>
          <w:sz w:val="22"/>
        </w:rPr>
        <w:t>[The express exclusion of "loss of customer data" is unenforceable and unacceptable for a regulated bank. Contoso Group Outsourcing Policy §10.2 requires uncapped liability for any breach of data confidentiality, customer data loss, or PDPA contravention.]</w:t>
      </w:r>
    </w:p>
    <w:p>
      <w:r>
        <w:rPr>
          <w:b/>
          <w:color w:val="1E3A8A"/>
          <w:sz w:val="30"/>
        </w:rPr>
        <w:t>10.  CONFIDENTIALITY</w:t>
      </w:r>
    </w:p>
    <w:p>
      <w:r>
        <w:rPr>
          <w:sz w:val="22"/>
        </w:rPr>
        <w:t>10.1 Each Party shall keep the other Party's Confidential Information confidential and shall not disclose it without the other Party's prior written consent.</w:t>
      </w:r>
    </w:p>
    <w:p>
      <w:r>
        <w:rPr>
          <w:b/>
          <w:sz w:val="22"/>
        </w:rPr>
        <w:t>10.2 The obligations under this clause 10 shall survive the termination of this Agreement for a period of three (3) years.</w:t>
      </w:r>
    </w:p>
    <w:p>
      <w:r>
        <w:rPr>
          <w:i/>
          <w:color w:val="64748B"/>
          <w:sz w:val="22"/>
        </w:rPr>
        <w:t>[Contoso Group Outsourcing Policy §11 and PDPA 2010 require confidentiality obligations for customer data to survive termination indefinitely. A 3-year limit on customer data confidentiality is non-compliant.]</w:t>
      </w:r>
    </w:p>
    <w:p>
      <w:r>
        <w:rPr>
          <w:b/>
          <w:color w:val="1E3A8A"/>
          <w:sz w:val="30"/>
        </w:rPr>
        <w:t>11.  REGULATORY MATTERS</w:t>
      </w:r>
    </w:p>
    <w:p>
      <w:r>
        <w:rPr>
          <w:sz w:val="22"/>
        </w:rPr>
        <w:t>11.1 The Service Provider acknowledges that the Bank is subject to regulation by Bank Negara Malaysia and the Securities Commission Malaysia, and shall co-operate reasonably with the Bank to enable compliance.</w:t>
      </w:r>
    </w:p>
    <w:p>
      <w:r>
        <w:rPr>
          <w:sz w:val="22"/>
        </w:rPr>
        <w:t>11.2 In the event that BNM or any other regulator with jurisdiction over the Bank directs the Bank to terminate this Agreement, the Bank may do so without further liability, save for fees due up to the date of termination.</w:t>
      </w:r>
    </w:p>
    <w:p>
      <w:r>
        <w:rPr>
          <w:b/>
          <w:color w:val="1E3A8A"/>
          <w:sz w:val="30"/>
        </w:rPr>
        <w:t>12.  GOVERNING LAW</w:t>
      </w:r>
    </w:p>
    <w:p>
      <w:r>
        <w:rPr>
          <w:sz w:val="22"/>
        </w:rPr>
        <w:t>12.1 This Agreement shall be governed by and construed in accordance with the laws of Malaysia. The Parties submit to the exclusive jurisdiction of the courts of Malaysia.</w:t>
      </w:r>
    </w:p>
    <w:p>
      <w:r>
        <w:rPr>
          <w:sz w:val="22"/>
        </w:rPr>
      </w:r>
    </w:p>
    <w:p>
      <w:r>
        <w:rPr>
          <w:b/>
          <w:sz w:val="22"/>
        </w:rPr>
        <w:t>Signed for and on behalf of CONTOSO INVESTMENT BANK BERHAD</w:t>
      </w:r>
    </w:p>
    <w:p>
      <w:r>
        <w:rPr>
          <w:sz w:val="22"/>
        </w:rPr>
        <w:t>Name:  ............................................................</w:t>
      </w:r>
    </w:p>
    <w:p>
      <w:r>
        <w:rPr>
          <w:sz w:val="22"/>
        </w:rPr>
        <w:t>Designation: ....................................................</w:t>
      </w:r>
    </w:p>
    <w:p>
      <w:r>
        <w:rPr>
          <w:sz w:val="22"/>
        </w:rPr>
        <w:t>Date:  ...............................</w:t>
      </w:r>
    </w:p>
    <w:p>
      <w:r>
        <w:rPr>
          <w:sz w:val="22"/>
        </w:rPr>
      </w:r>
    </w:p>
    <w:p>
      <w:r>
        <w:rPr>
          <w:b/>
          <w:sz w:val="22"/>
        </w:rPr>
        <w:t>Signed for and on behalf of QUANTUMSTREAM TECHNOLOGIES SDN BHD</w:t>
      </w:r>
    </w:p>
    <w:p>
      <w:r>
        <w:rPr>
          <w:sz w:val="22"/>
        </w:rPr>
        <w:t>Name:  ............................................................</w:t>
      </w:r>
    </w:p>
    <w:p>
      <w:r>
        <w:rPr>
          <w:sz w:val="22"/>
        </w:rPr>
        <w:t>Designation: ....................................................</w:t>
      </w:r>
    </w:p>
    <w:p>
      <w:r>
        <w:rPr>
          <w:sz w:val="22"/>
        </w:rPr>
        <w:t>Date: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