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E3A8A"/>
          <w:sz w:val="40"/>
        </w:rPr>
        <w:t>BOARD RISK COMMITTEE - MEETING MINUTES (DRAFT TRANSCRIPT)</w:t>
      </w:r>
    </w:p>
    <w:p>
      <w:r>
        <w:rPr>
          <w:b/>
          <w:sz w:val="22"/>
        </w:rPr>
        <w:t>Contoso Investment Bank Berhad</w:t>
      </w:r>
    </w:p>
    <w:p>
      <w:r>
        <w:rPr>
          <w:b/>
          <w:sz w:val="22"/>
        </w:rPr>
        <w:t>Date:  Thursday, 26 February 2026</w:t>
      </w:r>
    </w:p>
    <w:p>
      <w:r>
        <w:rPr>
          <w:b/>
          <w:sz w:val="22"/>
        </w:rPr>
        <w:t>Time:  09:00 - 11:45 (MYT)</w:t>
      </w:r>
    </w:p>
    <w:p>
      <w:r>
        <w:rPr>
          <w:b/>
          <w:sz w:val="22"/>
        </w:rPr>
        <w:t>Venue: Boardroom, Level 17, Contoso Tower / Microsoft Teams (hybrid)</w:t>
      </w:r>
    </w:p>
    <w:p>
      <w:r>
        <w:rPr>
          <w:sz w:val="22"/>
        </w:rPr>
      </w:r>
    </w:p>
    <w:p>
      <w:r>
        <w:rPr>
          <w:b/>
          <w:sz w:val="22"/>
        </w:rPr>
        <w:t>Present:</w:t>
      </w:r>
    </w:p>
    <w:p>
      <w:r>
        <w:rPr>
          <w:sz w:val="22"/>
        </w:rPr>
        <w:t xml:space="preserve">  Datuk Seri Wong Kien Khang  -  Chair, Board Risk Committee (Independent Director)</w:t>
      </w:r>
    </w:p>
    <w:p>
      <w:r>
        <w:rPr>
          <w:sz w:val="22"/>
        </w:rPr>
        <w:t xml:space="preserve">  Datin Kasmah Mansor          -  Independent Director</w:t>
      </w:r>
    </w:p>
    <w:p>
      <w:r>
        <w:rPr>
          <w:sz w:val="22"/>
        </w:rPr>
        <w:t xml:space="preserve">  Mr Vincent Lai Chee Ming     -  Independent Director</w:t>
      </w:r>
    </w:p>
    <w:p>
      <w:r>
        <w:rPr>
          <w:sz w:val="22"/>
        </w:rPr>
        <w:t xml:space="preserve">  Encik Ahmad Razif Abdullah   -  Group Managing Director / CEO</w:t>
      </w:r>
    </w:p>
    <w:p>
      <w:r>
        <w:rPr>
          <w:sz w:val="22"/>
        </w:rPr>
        <w:t xml:space="preserve">  Ms Priya                      -  Group Chief Financial Officer (Persona)</w:t>
      </w:r>
    </w:p>
    <w:p>
      <w:r>
        <w:rPr>
          <w:sz w:val="22"/>
        </w:rPr>
        <w:t xml:space="preserve">  Mr Daniel Tan Boon Heng      -  Group Chief Operating Officer</w:t>
      </w:r>
    </w:p>
    <w:p>
      <w:r>
        <w:rPr>
          <w:sz w:val="22"/>
        </w:rPr>
        <w:t xml:space="preserve">  Ms Aminah Yusoff             -  Group Chief Risk Officer</w:t>
      </w:r>
    </w:p>
    <w:p>
      <w:r>
        <w:rPr>
          <w:sz w:val="22"/>
        </w:rPr>
        <w:t xml:space="preserve">  Mr Krishnan Pillai           -  Group Chief Information Officer</w:t>
      </w:r>
    </w:p>
    <w:p>
      <w:r>
        <w:rPr>
          <w:sz w:val="22"/>
        </w:rPr>
        <w:t xml:space="preserve">  Mr James Wee Kiat            -  Group Head of Compliance</w:t>
      </w:r>
    </w:p>
    <w:p>
      <w:r>
        <w:rPr>
          <w:sz w:val="22"/>
        </w:rPr>
        <w:t xml:space="preserve">  In attendance: Group Internal Audit, Company Secretary</w:t>
      </w:r>
    </w:p>
    <w:p>
      <w:r>
        <w:rPr>
          <w:b/>
          <w:color w:val="1E3A8A"/>
          <w:sz w:val="30"/>
        </w:rPr>
        <w:t>1.  Welcome and Apologies</w:t>
      </w:r>
    </w:p>
    <w:p>
      <w:r>
        <w:rPr>
          <w:sz w:val="22"/>
        </w:rPr>
        <w:t>Datuk Seri Wong opened the meeting at 09:02. A quorum was confirmed by the Company Secretary. No apologies. The Chair noted that this meeting carries a heavier-than-usual agenda due to BNM's letter of 19 February requesting a written response on operational resilience and outsourcing governance by 31 March 2026.</w:t>
      </w:r>
    </w:p>
    <w:p>
      <w:r>
        <w:rPr>
          <w:b/>
          <w:color w:val="1E3A8A"/>
          <w:sz w:val="30"/>
        </w:rPr>
        <w:t>2.  FY2025 Year-End Financial Performance and Cost Position</w:t>
      </w:r>
    </w:p>
    <w:p>
      <w:r>
        <w:rPr>
          <w:sz w:val="22"/>
        </w:rPr>
        <w:t>Ms Priya (Group CFO) presented the FY2025 final-year management accounts. Headline points:</w:t>
      </w:r>
    </w:p>
    <w:p>
      <w:r>
        <w:rPr>
          <w:sz w:val="22"/>
        </w:rPr>
        <w:t xml:space="preserve">  - Group revenue closed 5.6% above plan, driven by Investment Banking (ECM and DCM mandates) and Treasury.</w:t>
      </w:r>
    </w:p>
    <w:p>
      <w:r>
        <w:rPr>
          <w:sz w:val="22"/>
        </w:rPr>
        <w:t xml:space="preserve">  - Group operating cost closed 12.9% above plan for the full year. Four segments have breached the 10% adverse variance threshold that triggers a mandatory corrective action plan under the Group Finance Policy.</w:t>
      </w:r>
    </w:p>
    <w:p>
      <w:r>
        <w:rPr>
          <w:sz w:val="22"/>
        </w:rPr>
        <w:t xml:space="preserve">  - Cost-to-Income Ratio at 62.4% against a target of 58.0%. The Chair noted this is the third consecutive quarter the CIR has been adverse.</w:t>
      </w:r>
    </w:p>
    <w:p>
      <w:r>
        <w:rPr>
          <w:sz w:val="22"/>
        </w:rPr>
      </w:r>
    </w:p>
    <w:p>
      <w:r>
        <w:rPr>
          <w:sz w:val="22"/>
        </w:rPr>
        <w:t>Mr Vincent Lai asked which segments had breached the 10% threshold. Ms Priya confirmed four segments breached: Equities &amp; Stockbroking (28.4% adverse), Group Support (14.8%), Money Lending &amp; Financing (13.7%), and Asset &amp; Wealth Management (11.5%). She noted that the digital wealth platform investment is a meaningful contributor to the AWM overrun and is being reviewed.</w:t>
      </w:r>
    </w:p>
    <w:p>
      <w:r>
        <w:rPr>
          <w:sz w:val="22"/>
        </w:rPr>
      </w:r>
    </w:p>
    <w:p>
      <w:r>
        <w:rPr>
          <w:sz w:val="22"/>
        </w:rPr>
        <w:t>Datin Kasmah noted that the Investment Banking segment, while showing strong revenue, also has cost overruns of c.8% and the Committee should not be anaesthetised by the revenue beat.</w:t>
      </w:r>
    </w:p>
    <w:p>
      <w:r>
        <w:rPr>
          <w:sz w:val="22"/>
        </w:rPr>
      </w:r>
    </w:p>
    <w:p>
      <w:r>
        <w:rPr>
          <w:sz w:val="22"/>
        </w:rPr>
        <w:t>RESOLVED: The Committee directs the Group CFO to present a corrective action plan for each of the four breaching segments at the next meeting on 27 March 2026, and to escalate any further deterioration to the Chair without waiting for the next scheduled meeting.</w:t>
      </w:r>
    </w:p>
    <w:p>
      <w:r>
        <w:rPr>
          <w:b/>
          <w:color w:val="1E3A8A"/>
          <w:sz w:val="30"/>
        </w:rPr>
        <w:t>3.  QuantumStream Outsourcing Contract Risk Review</w:t>
      </w:r>
    </w:p>
    <w:p>
      <w:r>
        <w:rPr>
          <w:sz w:val="22"/>
        </w:rPr>
        <w:t>Mr Daniel Tan (Group COO) introduced the agenda item. The QuantumStream Master Services Agreement, which covers our front-office market data, trade surveillance and order routing, is due to auto-renew on 1 February 2027 unless 45 days' notice is served. Internal Audit has flagged the contract as containing terms that breach the Group Outsourcing Policy and BNM expectations.</w:t>
      </w:r>
    </w:p>
    <w:p>
      <w:r>
        <w:rPr>
          <w:sz w:val="22"/>
        </w:rPr>
      </w:r>
    </w:p>
    <w:p>
      <w:r>
        <w:rPr>
          <w:sz w:val="22"/>
        </w:rPr>
        <w:t>Ms Aminah Yusoff (CRO) tabled a preliminary risk register identifying clauses on (i) auto-renewal notice (45 days vs policy 90 days), (ii) data ownership of derived analytics vested in the vendor, (iii) cross-border hosting at vendor discretion, (iv) audit rights restricted to once a year with 60 days' notice and no BNM access clause, (v) liability cap of 6 months' fees vs policy minimum of 12, (vi) RTO of 24 hours vs policy 2 hours for front-office, and (vii) annual price escalation of 7% vs policy cap of 3%.</w:t>
      </w:r>
    </w:p>
    <w:p>
      <w:r>
        <w:rPr>
          <w:sz w:val="22"/>
        </w:rPr>
      </w:r>
    </w:p>
    <w:p>
      <w:r>
        <w:rPr>
          <w:sz w:val="22"/>
        </w:rPr>
        <w:t>Mr Krishnan Pillai (CIO) confirmed there is currently no validated alternative vendor that can replace QuantumStream within 12 months without service disruption to the trading floor. He recommended formal renegotiation rather than termination.</w:t>
      </w:r>
    </w:p>
    <w:p>
      <w:r>
        <w:rPr>
          <w:sz w:val="22"/>
        </w:rPr>
      </w:r>
    </w:p>
    <w:p>
      <w:r>
        <w:rPr>
          <w:sz w:val="22"/>
        </w:rPr>
        <w:t>RESOLVED: The Committee directs the Group COO and Group Head of Procurement, supported by Legal and the Group CFO, to (a) issue a formal renegotiation request to QuantumStream within 14 days; (b) prepare a fallback termination plan including BNM notification draft; and (c) report progress at every monthly Risk Committee meeting until the matter is closed.</w:t>
      </w:r>
    </w:p>
    <w:p>
      <w:r>
        <w:rPr>
          <w:b/>
          <w:color w:val="1E3A8A"/>
          <w:sz w:val="30"/>
        </w:rPr>
        <w:t>4.  Operational Resilience and BNM Letter of 19 February</w:t>
      </w:r>
    </w:p>
    <w:p>
      <w:r>
        <w:rPr>
          <w:sz w:val="22"/>
        </w:rPr>
        <w:t>Mr James Wee (Compliance) presented BNM's letter. BNM has requested a written response covering: (a) inventory of all material outsourcing arrangements with BNM-Outsourcing-Policy compliance status; (b) updated business continuity and exit strategy for each material outsourcing arrangement; (c) disclosure of any cross-border data flows associated with outsourcing; and (d) board-approved operational resilience framework including impact tolerance for important business services.</w:t>
      </w:r>
    </w:p>
    <w:p>
      <w:r>
        <w:rPr>
          <w:sz w:val="22"/>
        </w:rPr>
      </w:r>
    </w:p>
    <w:p>
      <w:r>
        <w:rPr>
          <w:sz w:val="22"/>
        </w:rPr>
        <w:t>Mr Krishnan Pillai noted that the current outsourcing register shows 82% coverage compliance, with 8 vendors carrying non-compliant terms. He committed to a refreshed register by 19 March 2026.</w:t>
      </w:r>
    </w:p>
    <w:p>
      <w:r>
        <w:rPr>
          <w:sz w:val="22"/>
        </w:rPr>
      </w:r>
    </w:p>
    <w:p>
      <w:r>
        <w:rPr>
          <w:sz w:val="22"/>
        </w:rPr>
        <w:t>RESOLVED: The Committee directs the Group COO to coordinate the BNM response and circulate a draft to all Committee members by 17 March 2026 for review before submission by the regulatory deadline of 31 March 2026.</w:t>
      </w:r>
    </w:p>
    <w:p>
      <w:r>
        <w:rPr>
          <w:b/>
          <w:color w:val="1E3A8A"/>
          <w:sz w:val="30"/>
        </w:rPr>
        <w:t>5.  Cyber Incident Update - January Phishing Event</w:t>
      </w:r>
    </w:p>
    <w:p>
      <w:r>
        <w:rPr>
          <w:sz w:val="22"/>
        </w:rPr>
        <w:t>Mr Krishnan Pillai briefed on the spear-phishing incident of 14 January 2026 targeting three relationship managers in the Asset &amp; Wealth Management division. No customer data was exfiltrated. Two compromised mailboxes were contained within 47 minutes of detection. Forensic investigation completed. Estimated total cost of the incident, including external forensics and customer-facing communications, is RM 1.8 million, charged to Group Support.</w:t>
      </w:r>
    </w:p>
    <w:p>
      <w:r>
        <w:rPr>
          <w:sz w:val="22"/>
        </w:rPr>
      </w:r>
    </w:p>
    <w:p>
      <w:r>
        <w:rPr>
          <w:sz w:val="22"/>
        </w:rPr>
        <w:t>RESOLVED: Note the briefing. The CIO and CRO to present the lessons learned and uplift programme at the March meeting.</w:t>
      </w:r>
    </w:p>
    <w:p>
      <w:r>
        <w:rPr>
          <w:b/>
          <w:color w:val="1E3A8A"/>
          <w:sz w:val="30"/>
        </w:rPr>
        <w:t>6.  Capital and Liquidity</w:t>
      </w:r>
    </w:p>
    <w:p>
      <w:r>
        <w:rPr>
          <w:sz w:val="22"/>
        </w:rPr>
        <w:t>The CFO confirmed Group CET1 at 14.8% and LCR at 138%, both comfortably above BNM minima and the Group's risk appetite. No action required.</w:t>
      </w:r>
    </w:p>
    <w:p>
      <w:r>
        <w:rPr>
          <w:b/>
          <w:color w:val="1E3A8A"/>
          <w:sz w:val="30"/>
        </w:rPr>
        <w:t>7.  ESG and Bursa Sustainability Reporting</w:t>
      </w:r>
    </w:p>
    <w:p>
      <w:r>
        <w:rPr>
          <w:sz w:val="22"/>
        </w:rPr>
        <w:t>The Group Head of Sustainability (in attendance) noted FTSE Russell ESG score of 3.4, slightly below the 3.5 internal target, primarily due to Scope 3 disclosure gaps in the supply chain. The Committee asked for a remediation plan by 30 April 2026.</w:t>
      </w:r>
    </w:p>
    <w:p>
      <w:r>
        <w:rPr>
          <w:b/>
          <w:color w:val="1E3A8A"/>
          <w:sz w:val="30"/>
        </w:rPr>
        <w:t>8.  Action Items</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shd w:val="clear" w:color="auto" w:fill="1E3A8A"/>
          </w:tcPr>
          <w:p>
            <w:r>
              <w:rPr>
                <w:b/>
                <w:color w:val="FFFFFF"/>
              </w:rPr>
              <w:t>#</w:t>
            </w:r>
          </w:p>
        </w:tc>
        <w:tc>
          <w:tcPr>
            <w:tcW w:type="dxa" w:w="1728"/>
            <w:shd w:val="clear" w:color="auto" w:fill="1E3A8A"/>
          </w:tcPr>
          <w:p>
            <w:r>
              <w:rPr>
                <w:b/>
                <w:color w:val="FFFFFF"/>
              </w:rPr>
              <w:t>Action</w:t>
            </w:r>
          </w:p>
        </w:tc>
        <w:tc>
          <w:tcPr>
            <w:tcW w:type="dxa" w:w="1728"/>
            <w:shd w:val="clear" w:color="auto" w:fill="1E3A8A"/>
          </w:tcPr>
          <w:p>
            <w:r>
              <w:rPr>
                <w:b/>
                <w:color w:val="FFFFFF"/>
              </w:rPr>
              <w:t>Owner</w:t>
            </w:r>
          </w:p>
        </w:tc>
        <w:tc>
          <w:tcPr>
            <w:tcW w:type="dxa" w:w="1728"/>
            <w:shd w:val="clear" w:color="auto" w:fill="1E3A8A"/>
          </w:tcPr>
          <w:p>
            <w:r>
              <w:rPr>
                <w:b/>
                <w:color w:val="FFFFFF"/>
              </w:rPr>
              <w:t>Due</w:t>
            </w:r>
          </w:p>
        </w:tc>
        <w:tc>
          <w:tcPr>
            <w:tcW w:type="dxa" w:w="1728"/>
            <w:shd w:val="clear" w:color="auto" w:fill="1E3A8A"/>
          </w:tcPr>
          <w:p>
            <w:r>
              <w:rPr>
                <w:b/>
                <w:color w:val="FFFFFF"/>
              </w:rPr>
              <w:t>Priority</w:t>
            </w:r>
          </w:p>
        </w:tc>
      </w:tr>
      <w:tr>
        <w:tc>
          <w:tcPr>
            <w:tcW w:type="dxa" w:w="1728"/>
          </w:tcPr>
          <w:p>
            <w:r>
              <w:t>1</w:t>
            </w:r>
          </w:p>
        </w:tc>
        <w:tc>
          <w:tcPr>
            <w:tcW w:type="dxa" w:w="1728"/>
          </w:tcPr>
          <w:p>
            <w:r>
              <w:t>Submit corrective action plans for the four segments breaching the 10% cost variance threshold (Equities &amp; Stockbroking, Group Support, Money Lending &amp; Financing, Asset &amp; Wealth Management).</w:t>
            </w:r>
          </w:p>
        </w:tc>
        <w:tc>
          <w:tcPr>
            <w:tcW w:type="dxa" w:w="1728"/>
          </w:tcPr>
          <w:p>
            <w:r>
              <w:t>Group CFO</w:t>
            </w:r>
          </w:p>
        </w:tc>
        <w:tc>
          <w:tcPr>
            <w:tcW w:type="dxa" w:w="1728"/>
          </w:tcPr>
          <w:p>
            <w:r>
              <w:t>27 Mar 2026</w:t>
            </w:r>
          </w:p>
        </w:tc>
        <w:tc>
          <w:tcPr>
            <w:tcW w:type="dxa" w:w="1728"/>
          </w:tcPr>
          <w:p>
            <w:r>
              <w:t>High</w:t>
            </w:r>
          </w:p>
        </w:tc>
      </w:tr>
      <w:tr>
        <w:tc>
          <w:tcPr>
            <w:tcW w:type="dxa" w:w="1728"/>
          </w:tcPr>
          <w:p>
            <w:r>
              <w:t>2</w:t>
            </w:r>
          </w:p>
        </w:tc>
        <w:tc>
          <w:tcPr>
            <w:tcW w:type="dxa" w:w="1728"/>
          </w:tcPr>
          <w:p>
            <w:r>
              <w:t>Issue formal renegotiation request to QuantumStream covering all seven flagged clauses.</w:t>
            </w:r>
          </w:p>
        </w:tc>
        <w:tc>
          <w:tcPr>
            <w:tcW w:type="dxa" w:w="1728"/>
          </w:tcPr>
          <w:p>
            <w:r>
              <w:t>Group COO + Procurement</w:t>
            </w:r>
          </w:p>
        </w:tc>
        <w:tc>
          <w:tcPr>
            <w:tcW w:type="dxa" w:w="1728"/>
          </w:tcPr>
          <w:p>
            <w:r>
              <w:t>12 Mar 2026</w:t>
            </w:r>
          </w:p>
        </w:tc>
        <w:tc>
          <w:tcPr>
            <w:tcW w:type="dxa" w:w="1728"/>
          </w:tcPr>
          <w:p>
            <w:r>
              <w:t>High</w:t>
            </w:r>
          </w:p>
        </w:tc>
      </w:tr>
      <w:tr>
        <w:tc>
          <w:tcPr>
            <w:tcW w:type="dxa" w:w="1728"/>
          </w:tcPr>
          <w:p>
            <w:r>
              <w:t>3</w:t>
            </w:r>
          </w:p>
        </w:tc>
        <w:tc>
          <w:tcPr>
            <w:tcW w:type="dxa" w:w="1728"/>
          </w:tcPr>
          <w:p>
            <w:r>
              <w:t>Prepare fallback exit plan for the QuantumStream contract including BNM notification draft.</w:t>
            </w:r>
          </w:p>
        </w:tc>
        <w:tc>
          <w:tcPr>
            <w:tcW w:type="dxa" w:w="1728"/>
          </w:tcPr>
          <w:p>
            <w:r>
              <w:t>Group COO + CIO</w:t>
            </w:r>
          </w:p>
        </w:tc>
        <w:tc>
          <w:tcPr>
            <w:tcW w:type="dxa" w:w="1728"/>
          </w:tcPr>
          <w:p>
            <w:r>
              <w:t>26 Mar 2026</w:t>
            </w:r>
          </w:p>
        </w:tc>
        <w:tc>
          <w:tcPr>
            <w:tcW w:type="dxa" w:w="1728"/>
          </w:tcPr>
          <w:p>
            <w:r>
              <w:t>High</w:t>
            </w:r>
          </w:p>
        </w:tc>
      </w:tr>
      <w:tr>
        <w:tc>
          <w:tcPr>
            <w:tcW w:type="dxa" w:w="1728"/>
          </w:tcPr>
          <w:p>
            <w:r>
              <w:t>4</w:t>
            </w:r>
          </w:p>
        </w:tc>
        <w:tc>
          <w:tcPr>
            <w:tcW w:type="dxa" w:w="1728"/>
          </w:tcPr>
          <w:p>
            <w:r>
              <w:t>Refresh material outsourcing register and BNM-compliance attestations for all critical vendors.</w:t>
            </w:r>
          </w:p>
        </w:tc>
        <w:tc>
          <w:tcPr>
            <w:tcW w:type="dxa" w:w="1728"/>
          </w:tcPr>
          <w:p>
            <w:r>
              <w:t>Group CIO</w:t>
            </w:r>
          </w:p>
        </w:tc>
        <w:tc>
          <w:tcPr>
            <w:tcW w:type="dxa" w:w="1728"/>
          </w:tcPr>
          <w:p>
            <w:r>
              <w:t>19 Mar 2026</w:t>
            </w:r>
          </w:p>
        </w:tc>
        <w:tc>
          <w:tcPr>
            <w:tcW w:type="dxa" w:w="1728"/>
          </w:tcPr>
          <w:p>
            <w:r>
              <w:t>High</w:t>
            </w:r>
          </w:p>
        </w:tc>
      </w:tr>
      <w:tr>
        <w:tc>
          <w:tcPr>
            <w:tcW w:type="dxa" w:w="1728"/>
          </w:tcPr>
          <w:p>
            <w:r>
              <w:t>5</w:t>
            </w:r>
          </w:p>
        </w:tc>
        <w:tc>
          <w:tcPr>
            <w:tcW w:type="dxa" w:w="1728"/>
          </w:tcPr>
          <w:p>
            <w:r>
              <w:t>Coordinate the BNM response on operational resilience and outsourcing governance and circulate to Committee.</w:t>
            </w:r>
          </w:p>
        </w:tc>
        <w:tc>
          <w:tcPr>
            <w:tcW w:type="dxa" w:w="1728"/>
          </w:tcPr>
          <w:p>
            <w:r>
              <w:t>Group COO</w:t>
            </w:r>
          </w:p>
        </w:tc>
        <w:tc>
          <w:tcPr>
            <w:tcW w:type="dxa" w:w="1728"/>
          </w:tcPr>
          <w:p>
            <w:r>
              <w:t>17 Mar 2026</w:t>
            </w:r>
          </w:p>
        </w:tc>
        <w:tc>
          <w:tcPr>
            <w:tcW w:type="dxa" w:w="1728"/>
          </w:tcPr>
          <w:p>
            <w:r>
              <w:t>High</w:t>
            </w:r>
          </w:p>
        </w:tc>
      </w:tr>
      <w:tr>
        <w:tc>
          <w:tcPr>
            <w:tcW w:type="dxa" w:w="1728"/>
          </w:tcPr>
          <w:p>
            <w:r>
              <w:t>6</w:t>
            </w:r>
          </w:p>
        </w:tc>
        <w:tc>
          <w:tcPr>
            <w:tcW w:type="dxa" w:w="1728"/>
          </w:tcPr>
          <w:p>
            <w:r>
              <w:t>Submit BNM response by regulatory deadline.</w:t>
            </w:r>
          </w:p>
        </w:tc>
        <w:tc>
          <w:tcPr>
            <w:tcW w:type="dxa" w:w="1728"/>
          </w:tcPr>
          <w:p>
            <w:r>
              <w:t>Group COO</w:t>
            </w:r>
          </w:p>
        </w:tc>
        <w:tc>
          <w:tcPr>
            <w:tcW w:type="dxa" w:w="1728"/>
          </w:tcPr>
          <w:p>
            <w:r>
              <w:t>31 Mar 2026</w:t>
            </w:r>
          </w:p>
        </w:tc>
        <w:tc>
          <w:tcPr>
            <w:tcW w:type="dxa" w:w="1728"/>
          </w:tcPr>
          <w:p>
            <w:r>
              <w:t>High</w:t>
            </w:r>
          </w:p>
        </w:tc>
      </w:tr>
      <w:tr>
        <w:tc>
          <w:tcPr>
            <w:tcW w:type="dxa" w:w="1728"/>
          </w:tcPr>
          <w:p>
            <w:r>
              <w:t>7</w:t>
            </w:r>
          </w:p>
        </w:tc>
        <w:tc>
          <w:tcPr>
            <w:tcW w:type="dxa" w:w="1728"/>
          </w:tcPr>
          <w:p>
            <w:r>
              <w:t>Present lessons learned and the cyber uplift programme from the 14 January phishing incident.</w:t>
            </w:r>
          </w:p>
        </w:tc>
        <w:tc>
          <w:tcPr>
            <w:tcW w:type="dxa" w:w="1728"/>
          </w:tcPr>
          <w:p>
            <w:r>
              <w:t>Group CIO + CRO</w:t>
            </w:r>
          </w:p>
        </w:tc>
        <w:tc>
          <w:tcPr>
            <w:tcW w:type="dxa" w:w="1728"/>
          </w:tcPr>
          <w:p>
            <w:r>
              <w:t>27 Mar 2026</w:t>
            </w:r>
          </w:p>
        </w:tc>
        <w:tc>
          <w:tcPr>
            <w:tcW w:type="dxa" w:w="1728"/>
          </w:tcPr>
          <w:p>
            <w:r>
              <w:t>Medium</w:t>
            </w:r>
          </w:p>
        </w:tc>
      </w:tr>
      <w:tr>
        <w:tc>
          <w:tcPr>
            <w:tcW w:type="dxa" w:w="1728"/>
          </w:tcPr>
          <w:p>
            <w:r>
              <w:t>8</w:t>
            </w:r>
          </w:p>
        </w:tc>
        <w:tc>
          <w:tcPr>
            <w:tcW w:type="dxa" w:w="1728"/>
          </w:tcPr>
          <w:p>
            <w:r>
              <w:t>Present a corrective action plan for the Asset &amp; Wealth Management segment if the variance breaches 10% in March.</w:t>
            </w:r>
          </w:p>
        </w:tc>
        <w:tc>
          <w:tcPr>
            <w:tcW w:type="dxa" w:w="1728"/>
          </w:tcPr>
          <w:p>
            <w:r>
              <w:t>CEO, Contoso Investors</w:t>
            </w:r>
          </w:p>
        </w:tc>
        <w:tc>
          <w:tcPr>
            <w:tcW w:type="dxa" w:w="1728"/>
          </w:tcPr>
          <w:p>
            <w:r>
              <w:t>17 Mar 2026</w:t>
            </w:r>
          </w:p>
        </w:tc>
        <w:tc>
          <w:tcPr>
            <w:tcW w:type="dxa" w:w="1728"/>
          </w:tcPr>
          <w:p>
            <w:r>
              <w:t>Medium</w:t>
            </w:r>
          </w:p>
        </w:tc>
      </w:tr>
      <w:tr>
        <w:tc>
          <w:tcPr>
            <w:tcW w:type="dxa" w:w="1728"/>
          </w:tcPr>
          <w:p>
            <w:r>
              <w:t>9</w:t>
            </w:r>
          </w:p>
        </w:tc>
        <w:tc>
          <w:tcPr>
            <w:tcW w:type="dxa" w:w="1728"/>
          </w:tcPr>
          <w:p>
            <w:r>
              <w:t>Produce ESG remediation plan to lift FTSE Russell score to 3.5 with focus on Scope 3 supply chain disclosure.</w:t>
            </w:r>
          </w:p>
        </w:tc>
        <w:tc>
          <w:tcPr>
            <w:tcW w:type="dxa" w:w="1728"/>
          </w:tcPr>
          <w:p>
            <w:r>
              <w:t>Group Head of Sustainability</w:t>
            </w:r>
          </w:p>
        </w:tc>
        <w:tc>
          <w:tcPr>
            <w:tcW w:type="dxa" w:w="1728"/>
          </w:tcPr>
          <w:p>
            <w:r>
              <w:t>30 Apr 2026</w:t>
            </w:r>
          </w:p>
        </w:tc>
        <w:tc>
          <w:tcPr>
            <w:tcW w:type="dxa" w:w="1728"/>
          </w:tcPr>
          <w:p>
            <w:r>
              <w:t>Medium</w:t>
            </w:r>
          </w:p>
        </w:tc>
      </w:tr>
      <w:tr>
        <w:tc>
          <w:tcPr>
            <w:tcW w:type="dxa" w:w="1728"/>
          </w:tcPr>
          <w:p>
            <w:r>
              <w:t>10</w:t>
            </w:r>
          </w:p>
        </w:tc>
        <w:tc>
          <w:tcPr>
            <w:tcW w:type="dxa" w:w="1728"/>
          </w:tcPr>
          <w:p>
            <w:r>
              <w:t>Update the Board on Project Juara (asset tokenisation) governance framework and capital allocation request.</w:t>
            </w:r>
          </w:p>
        </w:tc>
        <w:tc>
          <w:tcPr>
            <w:tcW w:type="dxa" w:w="1728"/>
          </w:tcPr>
          <w:p>
            <w:r>
              <w:t>Group MD/CEO + CFO</w:t>
            </w:r>
          </w:p>
        </w:tc>
        <w:tc>
          <w:tcPr>
            <w:tcW w:type="dxa" w:w="1728"/>
          </w:tcPr>
          <w:p>
            <w:r>
              <w:t>27 Mar 2026</w:t>
            </w:r>
          </w:p>
        </w:tc>
        <w:tc>
          <w:tcPr>
            <w:tcW w:type="dxa" w:w="1728"/>
          </w:tcPr>
          <w:p>
            <w:r>
              <w:t>Medium</w:t>
            </w:r>
          </w:p>
        </w:tc>
      </w:tr>
    </w:tbl>
    <w:p>
      <w:r>
        <w:rPr>
          <w:sz w:val="22"/>
        </w:rPr>
      </w:r>
    </w:p>
    <w:p>
      <w:r>
        <w:rPr>
          <w:b/>
          <w:color w:val="1E3A8A"/>
          <w:sz w:val="30"/>
        </w:rPr>
        <w:t>9.  Any Other Business</w:t>
      </w:r>
    </w:p>
    <w:p>
      <w:r>
        <w:rPr>
          <w:sz w:val="22"/>
        </w:rPr>
        <w:t>None.</w:t>
      </w:r>
    </w:p>
    <w:p>
      <w:r>
        <w:rPr>
          <w:b/>
          <w:color w:val="1E3A8A"/>
          <w:sz w:val="30"/>
        </w:rPr>
        <w:t>10. Next Meeting</w:t>
      </w:r>
    </w:p>
    <w:p>
      <w:r>
        <w:rPr>
          <w:sz w:val="22"/>
        </w:rPr>
        <w:t>Friday, 27 March 2026, 09:00 - 12:00 (MYT). The Chair closed the meeting at 11:43.</w:t>
      </w:r>
    </w:p>
    <w:p>
      <w:r>
        <w:rPr>
          <w:sz w:val="22"/>
        </w:rPr>
      </w:r>
    </w:p>
    <w:p>
      <w:r>
        <w:rPr>
          <w:b/>
          <w:sz w:val="22"/>
        </w:rPr>
        <w:t>Confirmed and approved as a true record:</w:t>
      </w:r>
    </w:p>
    <w:p>
      <w:r>
        <w:rPr>
          <w:sz w:val="22"/>
        </w:rPr>
      </w:r>
    </w:p>
    <w:p>
      <w:r>
        <w:rPr>
          <w:sz w:val="22"/>
        </w:rPr>
        <w:t>_______________________________________</w:t>
      </w:r>
    </w:p>
    <w:p>
      <w:r>
        <w:rPr>
          <w:sz w:val="22"/>
        </w:rPr>
        <w:t>Datuk Seri Wong Kien Khang</w:t>
      </w:r>
    </w:p>
    <w:p>
      <w:r>
        <w:rPr>
          <w:sz w:val="22"/>
        </w:rPr>
        <w:t>Chair, Board Risk Committee</w:t>
      </w:r>
    </w:p>
    <w:p>
      <w:r>
        <w:rPr>
          <w:sz w:val="22"/>
        </w:rPr>
        <w:t>Date: 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