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E3A8A"/>
          <w:sz w:val="40"/>
        </w:rPr>
        <w:t>GROUP OUTSOURCING &amp; FINANCE POLICY MANUAL</w:t>
      </w:r>
    </w:p>
    <w:p>
      <w:r>
        <w:rPr>
          <w:b/>
          <w:sz w:val="24"/>
        </w:rPr>
        <w:t>Contoso Investment Bank Berhad</w:t>
      </w:r>
    </w:p>
    <w:p>
      <w:r>
        <w:rPr>
          <w:i/>
          <w:color w:val="64748B"/>
          <w:sz w:val="22"/>
        </w:rPr>
        <w:t>Document Reference: Contoso-GRP-POL-OF-2026-v3.2</w:t>
      </w:r>
    </w:p>
    <w:p>
      <w:r>
        <w:rPr>
          <w:i/>
          <w:color w:val="64748B"/>
          <w:sz w:val="22"/>
        </w:rPr>
        <w:t>Owner: Group Chief Financial Officer</w:t>
      </w:r>
    </w:p>
    <w:p>
      <w:r>
        <w:rPr>
          <w:i/>
          <w:color w:val="64748B"/>
          <w:sz w:val="22"/>
        </w:rPr>
        <w:t>Approved by: Board of Directors, 12 December 2025</w:t>
      </w:r>
    </w:p>
    <w:p>
      <w:r>
        <w:rPr>
          <w:i/>
          <w:color w:val="64748B"/>
          <w:sz w:val="22"/>
        </w:rPr>
        <w:t>Effective Date: 1 January 2026 | Review Cycle: Annual</w:t>
      </w:r>
    </w:p>
    <w:p>
      <w:r>
        <w:rPr>
          <w:i/>
          <w:color w:val="64748B"/>
          <w:sz w:val="22"/>
        </w:rPr>
        <w:t>Classification: Internal | Audience: All employees of Contoso Group</w:t>
      </w:r>
    </w:p>
    <w:p>
      <w:r>
        <w:rPr>
          <w:sz w:val="22"/>
        </w:rPr>
      </w:r>
    </w:p>
    <w:p>
      <w:r>
        <w:rPr>
          <w:i/>
          <w:sz w:val="22"/>
        </w:rPr>
        <w:t>Regulatory Foundation: This policy gives effect to Bank Negara Malaysia's Policy Document on Outsourcing (BNM/RH/PD 028-99), Financial Services Act 2013 §53, Capital Markets and Services Act 2007, Personal Data Protection Act 2010, and the Bursa Malaysia Listing Requirements applicable to listed financial groups.</w:t>
      </w:r>
    </w:p>
    <w:p>
      <w:r>
        <w:rPr>
          <w:b/>
          <w:color w:val="1E3A8A"/>
          <w:sz w:val="30"/>
        </w:rPr>
        <w:t>Section 1.  Purpose and Scope</w:t>
      </w:r>
    </w:p>
    <w:p>
      <w:r>
        <w:rPr>
          <w:sz w:val="22"/>
        </w:rPr>
        <w:t>1.1 This Manual sets out the Group's mandatory minimum standards for: (a) financial approval and delegation of authority; (b) outsourcing and vendor risk management; (c) contract terms for material outsourcing; (d) data ownership, hosting and cross-border transfers; (e) audit and regulatory access; (f) business continuity and operational resilience; and (g) ESG and sustainability obligations.</w:t>
      </w:r>
    </w:p>
    <w:p>
      <w:r>
        <w:rPr>
          <w:sz w:val="22"/>
        </w:rPr>
        <w:t>1.2 This Manual applies to Contoso and all subsidiaries, including Contoso Investors, Contoso Futures, Contoso Trade, Contoso Capital Islamic, and any joint venture or associate over which Contoso exercises control or significant influence.</w:t>
      </w:r>
    </w:p>
    <w:p>
      <w:r>
        <w:rPr>
          <w:b/>
          <w:color w:val="1E3A8A"/>
          <w:sz w:val="30"/>
        </w:rPr>
        <w:t>Section 2.  Delegation of Authority - Approval Thresholds</w:t>
      </w:r>
    </w:p>
    <w:p>
      <w:r>
        <w:rPr>
          <w:sz w:val="22"/>
        </w:rPr>
        <w:t>2.1 The following approval thresholds apply to all operating expenditure, capital expenditure, and outsourcing/vendor commitments. "Value" means total contract value over the initial term, including options to extend.</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E3A8A"/>
          </w:tcPr>
          <w:p>
            <w:r>
              <w:rPr>
                <w:b/>
                <w:color w:val="FFFFFF"/>
              </w:rPr>
              <w:t>Approver</w:t>
            </w:r>
          </w:p>
        </w:tc>
        <w:tc>
          <w:tcPr>
            <w:tcW w:type="dxa" w:w="2880"/>
            <w:shd w:val="clear" w:color="auto" w:fill="1E3A8A"/>
          </w:tcPr>
          <w:p>
            <w:r>
              <w:rPr>
                <w:b/>
                <w:color w:val="FFFFFF"/>
              </w:rPr>
              <w:t>Operating Expenditure (per item / contract)</w:t>
            </w:r>
          </w:p>
        </w:tc>
        <w:tc>
          <w:tcPr>
            <w:tcW w:type="dxa" w:w="2880"/>
            <w:shd w:val="clear" w:color="auto" w:fill="1E3A8A"/>
          </w:tcPr>
          <w:p>
            <w:r>
              <w:rPr>
                <w:b/>
                <w:color w:val="FFFFFF"/>
              </w:rPr>
              <w:t>Capital Expenditure / Outsourcing</w:t>
            </w:r>
          </w:p>
        </w:tc>
      </w:tr>
      <w:tr>
        <w:tc>
          <w:tcPr>
            <w:tcW w:type="dxa" w:w="2880"/>
          </w:tcPr>
          <w:p>
            <w:r>
              <w:t>Department Head</w:t>
            </w:r>
          </w:p>
        </w:tc>
        <w:tc>
          <w:tcPr>
            <w:tcW w:type="dxa" w:w="2880"/>
          </w:tcPr>
          <w:p>
            <w:r>
              <w:t>Up to RM 50,000</w:t>
            </w:r>
          </w:p>
        </w:tc>
        <w:tc>
          <w:tcPr>
            <w:tcW w:type="dxa" w:w="2880"/>
          </w:tcPr>
          <w:p>
            <w:r>
              <w:t>Not authorised</w:t>
            </w:r>
          </w:p>
        </w:tc>
      </w:tr>
      <w:tr>
        <w:tc>
          <w:tcPr>
            <w:tcW w:type="dxa" w:w="2880"/>
          </w:tcPr>
          <w:p>
            <w:r>
              <w:t>Divisional Head / CXO direct report</w:t>
            </w:r>
          </w:p>
        </w:tc>
        <w:tc>
          <w:tcPr>
            <w:tcW w:type="dxa" w:w="2880"/>
          </w:tcPr>
          <w:p>
            <w:r>
              <w:t>RM 50,001 - RM 250,000</w:t>
            </w:r>
          </w:p>
        </w:tc>
        <w:tc>
          <w:tcPr>
            <w:tcW w:type="dxa" w:w="2880"/>
          </w:tcPr>
          <w:p>
            <w:r>
              <w:t>Up to RM 100,000 (capex only, non-outsourcing)</w:t>
            </w:r>
          </w:p>
        </w:tc>
      </w:tr>
      <w:tr>
        <w:tc>
          <w:tcPr>
            <w:tcW w:type="dxa" w:w="2880"/>
          </w:tcPr>
          <w:p>
            <w:r>
              <w:t>Group MD / CEO + CFO (joint)</w:t>
            </w:r>
          </w:p>
        </w:tc>
        <w:tc>
          <w:tcPr>
            <w:tcW w:type="dxa" w:w="2880"/>
          </w:tcPr>
          <w:p>
            <w:r>
              <w:t>RM 250,001 - RM 1,000,000</w:t>
            </w:r>
          </w:p>
        </w:tc>
        <w:tc>
          <w:tcPr>
            <w:tcW w:type="dxa" w:w="2880"/>
          </w:tcPr>
          <w:p>
            <w:r>
              <w:t>RM 100,001 - RM 1,000,000</w:t>
            </w:r>
          </w:p>
        </w:tc>
      </w:tr>
      <w:tr>
        <w:tc>
          <w:tcPr>
            <w:tcW w:type="dxa" w:w="2880"/>
          </w:tcPr>
          <w:p>
            <w:r>
              <w:t>Board Risk Committee</w:t>
            </w:r>
          </w:p>
        </w:tc>
        <w:tc>
          <w:tcPr>
            <w:tcW w:type="dxa" w:w="2880"/>
          </w:tcPr>
          <w:p>
            <w:r>
              <w:t>Above RM 1,000,000</w:t>
            </w:r>
          </w:p>
        </w:tc>
        <w:tc>
          <w:tcPr>
            <w:tcW w:type="dxa" w:w="2880"/>
          </w:tcPr>
          <w:p>
            <w:r>
              <w:t>Above RM 1,000,000 OR any material outsourcing regardless of value</w:t>
            </w:r>
          </w:p>
        </w:tc>
      </w:tr>
      <w:tr>
        <w:tc>
          <w:tcPr>
            <w:tcW w:type="dxa" w:w="2880"/>
          </w:tcPr>
          <w:p>
            <w:r>
              <w:t>Full Board</w:t>
            </w:r>
          </w:p>
        </w:tc>
        <w:tc>
          <w:tcPr>
            <w:tcW w:type="dxa" w:w="2880"/>
          </w:tcPr>
          <w:p>
            <w:r>
              <w:t>Single items &gt; RM 5,000,000 or strategic in nature</w:t>
            </w:r>
          </w:p>
        </w:tc>
        <w:tc>
          <w:tcPr>
            <w:tcW w:type="dxa" w:w="2880"/>
          </w:tcPr>
          <w:p>
            <w:r>
              <w:t>Above RM 5,000,000 or any cross-border outsourcing</w:t>
            </w:r>
          </w:p>
        </w:tc>
      </w:tr>
    </w:tbl>
    <w:p>
      <w:r>
        <w:rPr>
          <w:sz w:val="22"/>
        </w:rPr>
      </w:r>
    </w:p>
    <w:p>
      <w:r>
        <w:rPr>
          <w:sz w:val="22"/>
        </w:rPr>
        <w:t>2.2 "Material outsourcing" means any outsourcing arrangement that, if disrupted, would have the potential to significantly affect the Bank's business operations, ability to manage risk, or compliance with regulatory obligations. This includes all front-office trading platforms, market-data feeds, order-routing infrastructure, core banking, customer-data hosting, and trade surveillance services.</w:t>
      </w:r>
    </w:p>
    <w:p>
      <w:r>
        <w:rPr>
          <w:sz w:val="22"/>
        </w:rPr>
        <w:t>2.3 No officer of the Bank may split a single procurement requirement into multiple smaller orders to circumvent these thresholds. Any such splitting will be treated as a serious disciplinary matter and reported to the Board Risk Committee.</w:t>
      </w:r>
    </w:p>
    <w:p>
      <w:r>
        <w:rPr>
          <w:b/>
          <w:color w:val="1E3A8A"/>
          <w:sz w:val="30"/>
        </w:rPr>
        <w:t>Section 3.  Procurement Process Thresholds</w:t>
      </w:r>
    </w:p>
    <w:p>
      <w:r>
        <w:rPr>
          <w:sz w:val="22"/>
        </w:rPr>
        <w:t>3.1 Single-quote purchase: permitted up to RM 50,000 only.</w:t>
      </w:r>
    </w:p>
    <w:p>
      <w:r>
        <w:rPr>
          <w:sz w:val="22"/>
        </w:rPr>
        <w:t>3.2 Request for Quotation (RFQ - minimum three written quotes): mandatory for all purchases between RM 50,001 and RM 500,000.</w:t>
      </w:r>
    </w:p>
    <w:p>
      <w:r>
        <w:rPr>
          <w:sz w:val="22"/>
        </w:rPr>
        <w:t>3.3 Closed Tender: mandatory for purchases between RM 500,001 and RM 2,000,000.</w:t>
      </w:r>
    </w:p>
    <w:p>
      <w:r>
        <w:rPr>
          <w:sz w:val="22"/>
        </w:rPr>
        <w:t>3.4 Open Tender (publicly advertised): mandatory for all purchases above RM 2,000,000 and for any material outsourcing arrangement regardless of value, except where the Board Risk Committee approves a single-source justification on documented grounds.</w:t>
      </w:r>
    </w:p>
    <w:p>
      <w:r>
        <w:rPr>
          <w:sz w:val="22"/>
        </w:rPr>
        <w:t>3.5 No purchase order may be raised to a supplier who is not on the Group Approved Vendor List unless approved on an exception basis by the Group Procurement Committee.</w:t>
      </w:r>
    </w:p>
    <w:p>
      <w:r>
        <w:rPr>
          <w:b/>
          <w:color w:val="1E3A8A"/>
          <w:sz w:val="30"/>
        </w:rPr>
        <w:t>Section 4.  Pricing, Fees and Escalation</w:t>
      </w:r>
    </w:p>
    <w:p>
      <w:r>
        <w:rPr>
          <w:sz w:val="22"/>
        </w:rPr>
        <w:t>4.1 All vendor contracts of duration greater than 12 months must include a pricing schedule for the full term.</w:t>
      </w:r>
    </w:p>
    <w:p>
      <w:r>
        <w:rPr>
          <w:sz w:val="22"/>
        </w:rPr>
        <w:t>4.2 Pre-agreed rate cards are required for any pass-through cost; "cost-plus" pricing without an audit-verifiable definition of "cost" is not permitted.</w:t>
      </w:r>
    </w:p>
    <w:p>
      <w:r>
        <w:rPr>
          <w:sz w:val="22"/>
        </w:rPr>
        <w:t>4.3 Annual price escalation must be capped at the lower of three per cent (3.0%) or the Malaysian Consumer Price Index for the preceding 12 months. Any escalation above this cap requires Board Risk Committee approval.</w:t>
      </w:r>
    </w:p>
    <w:p>
      <w:r>
        <w:rPr>
          <w:b/>
          <w:color w:val="1E3A8A"/>
          <w:sz w:val="30"/>
        </w:rPr>
        <w:t>Section 5.  Vendor Due Diligence and Onboarding</w:t>
      </w:r>
    </w:p>
    <w:p>
      <w:r>
        <w:rPr>
          <w:sz w:val="22"/>
        </w:rPr>
        <w:t>5.1 No material outsourcing contract may be signed without a completed due diligence pack covering: financial health (3 years audited accounts), regulatory standing, adverse media check, sanctions screening, ICT security assessment (ISO 27001 or equivalent), data protection compliance, and a documented exit strategy.</w:t>
      </w:r>
    </w:p>
    <w:p>
      <w:r>
        <w:rPr>
          <w:sz w:val="22"/>
        </w:rPr>
        <w:t>5.2 Critical vendors must be reassessed annually.</w:t>
      </w:r>
    </w:p>
    <w:p>
      <w:r>
        <w:rPr>
          <w:b/>
          <w:color w:val="1E3A8A"/>
          <w:sz w:val="30"/>
        </w:rPr>
        <w:t>Section 6.  Contract Term, Renewal and Exit</w:t>
      </w:r>
    </w:p>
    <w:p>
      <w:r>
        <w:rPr>
          <w:sz w:val="22"/>
        </w:rPr>
        <w:t>6.1 The maximum initial term for any material outsourcing contract is five (5) years.</w:t>
      </w:r>
    </w:p>
    <w:p>
      <w:r>
        <w:rPr>
          <w:sz w:val="22"/>
        </w:rPr>
        <w:t>6.2 Auto-renewal is permitted only if the contract provides the Bank with a minimum non-renewal notice period of ninety (90) days. Notice periods shorter than 90 days are not compliant with this Policy and are not permitted under any circumstance.</w:t>
      </w:r>
    </w:p>
    <w:p>
      <w:r>
        <w:rPr>
          <w:sz w:val="22"/>
        </w:rPr>
        <w:t>6.3 Every material outsourcing contract must include a documented exit strategy that allows the Bank to terminate and migrate to an alternative provider within 180 days without operational disruption. The exit strategy must be tested at least once every two years.</w:t>
      </w:r>
    </w:p>
    <w:p>
      <w:r>
        <w:rPr>
          <w:b/>
          <w:color w:val="1E3A8A"/>
          <w:sz w:val="30"/>
        </w:rPr>
        <w:t>Section 7.  Data Ownership, Location and Cross-Border Transfer</w:t>
      </w:r>
    </w:p>
    <w:p>
      <w:r>
        <w:rPr>
          <w:sz w:val="22"/>
        </w:rPr>
        <w:t>7.1 All Customer Data, transaction data, and any data derived from such data (including aggregated, anonymised or analytical outputs) shall remain the sole property of the Bank. Vendors may be granted only a limited, revocable, non-exclusive licence to process such data for the sole purpose of delivering the contracted services. Any clause that vests ownership of derived data, behavioural models or analytics in a vendor is non-compliant.</w:t>
      </w:r>
    </w:p>
    <w:p>
      <w:r>
        <w:rPr>
          <w:sz w:val="22"/>
        </w:rPr>
        <w:t>7.2 Customer Data of Malaysian customers must be hosted on servers physically located in Malaysia by default.</w:t>
      </w:r>
    </w:p>
    <w:p>
      <w:r>
        <w:rPr>
          <w:sz w:val="22"/>
        </w:rPr>
        <w:t>7.3 Cross-border hosting or data transfer requires (a) prior written approval from the Group CRO and Group CIO; (b) prior written notification to BNM in accordance with the BNM Outsourcing Policy; and (c) a documented data protection impact assessment under the PDPA.</w:t>
      </w:r>
    </w:p>
    <w:p>
      <w:r>
        <w:rPr>
          <w:sz w:val="22"/>
        </w:rPr>
        <w:t>7.4 Vendors may not change the primary hosting jurisdiction without ninety (90) days' prior written notice and the prior written consent of the Bank.</w:t>
      </w:r>
    </w:p>
    <w:p>
      <w:r>
        <w:rPr>
          <w:b/>
          <w:color w:val="1E3A8A"/>
          <w:sz w:val="30"/>
        </w:rPr>
        <w:t>Section 8.  Audit, Inspection and Regulatory Access</w:t>
      </w:r>
    </w:p>
    <w:p>
      <w:r>
        <w:rPr>
          <w:sz w:val="22"/>
        </w:rPr>
        <w:t>8.1 Every material outsourcing contract must include the following non-negotiable audit and access rights, at no cost to the Bank:</w:t>
      </w:r>
    </w:p>
    <w:p>
      <w:r>
        <w:rPr>
          <w:sz w:val="22"/>
        </w:rPr>
        <w:t xml:space="preserve">    (a) the Bank's right to audit the vendor's controls, processes and records relevant to the Services at any reasonable time, with at least 14 days' notice for a planned audit and immediate access for incident or fraud investigation;</w:t>
      </w:r>
    </w:p>
    <w:p>
      <w:r>
        <w:rPr>
          <w:sz w:val="22"/>
        </w:rPr>
        <w:t xml:space="preserve">    (b) explicit right of access for Bank Negara Malaysia, the Securities Commission Malaysia, Bursa Malaysia and any other regulator with jurisdiction over the Bank, on the same terms;</w:t>
      </w:r>
    </w:p>
    <w:p>
      <w:r>
        <w:rPr>
          <w:sz w:val="22"/>
        </w:rPr>
        <w:t xml:space="preserve">    (c) right to receive copies of any independent SOC 2 Type II, ISO 27001, or equivalent third-party assurance reports issued in respect of the vendor's controls;</w:t>
      </w:r>
    </w:p>
    <w:p>
      <w:r>
        <w:rPr>
          <w:sz w:val="22"/>
        </w:rPr>
        <w:t xml:space="preserve">    (d) right to require the vendor to remediate any control finding within an agreed timeframe;</w:t>
      </w:r>
    </w:p>
    <w:p>
      <w:r>
        <w:rPr>
          <w:sz w:val="22"/>
        </w:rPr>
        <w:t xml:space="preserve">    (e) right to terminate the contract for material or persistent control failures.</w:t>
      </w:r>
    </w:p>
    <w:p>
      <w:r>
        <w:rPr>
          <w:b/>
          <w:color w:val="1E3A8A"/>
          <w:sz w:val="30"/>
        </w:rPr>
        <w:t>Section 9.  Service Levels and Operational Resilience</w:t>
      </w:r>
    </w:p>
    <w:p>
      <w:r>
        <w:rPr>
          <w:sz w:val="22"/>
        </w:rPr>
        <w:t>9.1 Front-office trading, market-data and order-routing services must achieve a minimum availability of 99.9% during market hours, with service credit remedies for any breach.</w:t>
      </w:r>
    </w:p>
    <w:p>
      <w:r>
        <w:rPr>
          <w:sz w:val="22"/>
        </w:rPr>
        <w:t>9.2 Recovery Time Objectives: a maximum of two (2) hours for front-office and four (4) hours for back-office systems classified as material outsourcing.</w:t>
      </w:r>
    </w:p>
    <w:p>
      <w:r>
        <w:rPr>
          <w:sz w:val="22"/>
        </w:rPr>
        <w:t>9.3 Recovery Point Objective: a maximum of 15 minutes of data loss for transaction processing systems.</w:t>
      </w:r>
    </w:p>
    <w:p>
      <w:r>
        <w:rPr>
          <w:sz w:val="22"/>
        </w:rPr>
        <w:t>9.4 Each material vendor must participate in the Bank's annual operational resilience exercise.</w:t>
      </w:r>
    </w:p>
    <w:p>
      <w:r>
        <w:rPr>
          <w:b/>
          <w:color w:val="1E3A8A"/>
          <w:sz w:val="30"/>
        </w:rPr>
        <w:t>Section 10.  Liability, Indemnity and Insurance</w:t>
      </w:r>
    </w:p>
    <w:p>
      <w:r>
        <w:rPr>
          <w:sz w:val="22"/>
        </w:rPr>
        <w:t>10.1 The aggregate liability cap of any material outsourcing vendor must not be less than twelve (12) months of fees payable under the contract.</w:t>
      </w:r>
    </w:p>
    <w:p>
      <w:r>
        <w:rPr>
          <w:sz w:val="22"/>
        </w:rPr>
        <w:t>10.2 The following must be carved out from any liability cap and from any general exclusion of consequential damages, and remain uncapped: (a) breach of customer data confidentiality; (b) breach of PDPA 2010; (c) gross negligence or wilful misconduct; (d) breach of intellectual property warranties; (e) regulatory fines imposed on the Bank arising from the vendor's act or omission.</w:t>
      </w:r>
    </w:p>
    <w:p>
      <w:r>
        <w:rPr>
          <w:sz w:val="22"/>
        </w:rPr>
        <w:t>10.3 Material outsourcing vendors must hold and maintain professional indemnity insurance and cyber liability insurance of not less than RM 25 million per occurrence, with the Bank named as an additional insured where permissible.</w:t>
      </w:r>
    </w:p>
    <w:p>
      <w:r>
        <w:rPr>
          <w:b/>
          <w:color w:val="1E3A8A"/>
          <w:sz w:val="30"/>
        </w:rPr>
        <w:t>Section 11.  Confidentiality and Data Protection</w:t>
      </w:r>
    </w:p>
    <w:p>
      <w:r>
        <w:rPr>
          <w:sz w:val="22"/>
        </w:rPr>
        <w:t>11.1 Confidentiality obligations relating to Customer Data must survive termination indefinitely.</w:t>
      </w:r>
    </w:p>
    <w:p>
      <w:r>
        <w:rPr>
          <w:sz w:val="22"/>
        </w:rPr>
        <w:t>11.2 Vendors must comply with the PDPA 2010 in all respects and must not use Customer Data for any purpose other than the delivery of the contracted services.</w:t>
      </w:r>
    </w:p>
    <w:p>
      <w:r>
        <w:rPr>
          <w:b/>
          <w:color w:val="1E3A8A"/>
          <w:sz w:val="30"/>
        </w:rPr>
        <w:t>Section 12.  CAPEX Approval</w:t>
      </w:r>
    </w:p>
    <w:p>
      <w:r>
        <w:rPr>
          <w:sz w:val="22"/>
        </w:rPr>
        <w:t>12.1 All capital expenditure proposals above RM 100,000 require a formal business case including: payback period, NPV using the Group hurdle rate of 9.0%, internal rate of return, sensitivity analysis on the top three assumptions, and a post-implementation review schedule.</w:t>
      </w:r>
    </w:p>
    <w:p>
      <w:r>
        <w:rPr>
          <w:sz w:val="22"/>
        </w:rPr>
        <w:t>12.2 The Group hurdle rate may be revised annually by the Board on the recommendation of the Group CFO.</w:t>
      </w:r>
    </w:p>
    <w:p>
      <w:r>
        <w:rPr>
          <w:b/>
          <w:color w:val="1E3A8A"/>
          <w:sz w:val="30"/>
        </w:rPr>
        <w:t>Section 13.  Reporting and Escalation</w:t>
      </w:r>
    </w:p>
    <w:p>
      <w:r>
        <w:rPr>
          <w:sz w:val="22"/>
        </w:rPr>
        <w:t>13.1 Any segment with a year-to-date adverse cost variance above 10% must submit a formal corrective action plan to the Board Risk Committee at the next meeting.</w:t>
      </w:r>
    </w:p>
    <w:p>
      <w:r>
        <w:rPr>
          <w:sz w:val="22"/>
        </w:rPr>
        <w:t>13.2 Any operational loss event above RM 500,000 must be reported to the Group CRO within 24 hours and to the Board Risk Committee at the next meeting.</w:t>
      </w:r>
    </w:p>
    <w:p>
      <w:r>
        <w:rPr>
          <w:sz w:val="22"/>
        </w:rPr>
        <w:t>13.3 Any breach of this Policy must be self-reported to the Group Head of Compliance within 5 working days.</w:t>
      </w:r>
    </w:p>
    <w:p>
      <w:r>
        <w:rPr>
          <w:b/>
          <w:color w:val="1E3A8A"/>
          <w:sz w:val="30"/>
        </w:rPr>
        <w:t>Section 14.  ESG and Sustainability in Procurement</w:t>
      </w:r>
    </w:p>
    <w:p>
      <w:r>
        <w:rPr>
          <w:sz w:val="22"/>
        </w:rPr>
        <w:t>14.1 All material outsourcing tenders must include an ESG due diligence component covering environmental impact, supplier diversity, and labour practices.</w:t>
      </w:r>
    </w:p>
    <w:p>
      <w:r>
        <w:rPr>
          <w:sz w:val="22"/>
        </w:rPr>
        <w:t>14.2 Vendors with combined annual contract value above RM 5 million must provide Scope 1, 2 and material Scope 3 emissions data annually for inclusion in the Group's Bursa Sustainability Report.</w:t>
      </w:r>
    </w:p>
    <w:p>
      <w:r>
        <w:rPr>
          <w:b/>
          <w:color w:val="1E3A8A"/>
          <w:sz w:val="30"/>
        </w:rPr>
        <w:t>Section 15.  Project Juara - Asset Tokenisation Governance</w:t>
      </w:r>
    </w:p>
    <w:p>
      <w:r>
        <w:rPr>
          <w:sz w:val="22"/>
        </w:rPr>
        <w:t>15.1 Any tokenisation, distributed-ledger or digital-asset arrangement requires prior approval by the Board Risk Committee, prior written engagement with BNM and the Securities Commission, and a separate compliance and AML risk assessment.</w:t>
      </w:r>
    </w:p>
    <w:p>
      <w:r>
        <w:rPr>
          <w:b/>
          <w:color w:val="1E3A8A"/>
          <w:sz w:val="30"/>
        </w:rPr>
        <w:t>Section 16.  Policy Governance</w:t>
      </w:r>
    </w:p>
    <w:p>
      <w:r>
        <w:rPr>
          <w:sz w:val="22"/>
        </w:rPr>
        <w:t>16.1 This Policy is reviewed annually by the Group CFO and approved by the Board.</w:t>
      </w:r>
    </w:p>
    <w:p>
      <w:r>
        <w:rPr>
          <w:sz w:val="22"/>
        </w:rPr>
        <w:t>16.2 Any departure from this Policy requires Board Risk Committee approval, documented in writing.</w:t>
      </w:r>
    </w:p>
    <w:p>
      <w:r>
        <w:rPr>
          <w:sz w:val="22"/>
        </w:rPr>
        <w:t>16.3 For policy interpretation queries, contact the Group CFO Office or the Group Head of Compliance. Out-of-scope queries should be directed to the Company Secretary in the first instance.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