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CONTOSO INVESTMENT BANK BERHAD</w:t>
      </w:r>
    </w:p>
    <w:p>
      <w:pPr>
        <w:spacing w:after="100"/>
      </w:pPr>
      <w:r>
        <w:t>INDICATIVE TERM SHEET — PROJECT ANGGERIK</w:t>
      </w:r>
    </w:p>
    <w:p>
      <w:pPr>
        <w:spacing w:after="60" w:before="60"/>
        <w:pBdr>
          <w:bottom w:val="single" w:sz="4" w:space="1" w:color="CCCCCC"/>
        </w:pBdr>
      </w:pPr>
    </w:p>
    <w:p>
      <w:pPr>
        <w:spacing w:after="100"/>
      </w:pPr>
      <w:r>
        <w:t>Date: 15 January 2026  |  Classification: Strictly Confidential</w:t>
      </w:r>
    </w:p>
    <w:p>
      <w:pPr>
        <w:spacing w:after="100"/>
      </w:pPr>
      <w:r>
        <w:t>This term sheet is indicative and subject to final credit approval and documentation.</w:t>
      </w:r>
    </w:p>
    <w:p>
      <w:pPr>
        <w:pStyle w:val="Heading2"/>
        <w:spacing w:before="120" w:after="80"/>
      </w:pPr>
      <w:r>
        <w:t>FACILITY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Parameter</w:t>
            </w:r>
          </w:p>
        </w:tc>
        <w:tc>
          <w:tcPr>
            <w:tcW w:type="dxa" w:w="6048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Detail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Borrower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Selangor Tech Holdings Sdn Bhd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Arranger &amp; Bookrunner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Contoso Investment Bank Berhad (CIBB)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Facility Type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Senior Secured Term Loan B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Amount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RM 312,000,000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Tenor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60 months from first drawdown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Interest Rate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3-month KLIBOR + 375 bps per annum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Arrangement Fee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0.75% flat on facility amount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Commitment Fee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0.40% p.a. on undrawn balance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Repayment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Bullet at maturity; cash-sweep mechanism applies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Security</w:t>
            </w:r>
          </w:p>
        </w:tc>
        <w:tc>
          <w:tcPr>
            <w:tcW w:type="dxa" w:w="6048"/>
          </w:tcPr>
          <w:p>
            <w:r>
              <w:rPr>
                <w:sz w:val="16"/>
              </w:rPr>
              <w:t>First fixed charge over all assets; pledge of shares of borrower</w:t>
            </w:r>
          </w:p>
        </w:tc>
      </w:tr>
    </w:tbl>
    <w:p>
      <w:pPr>
        <w:pStyle w:val="Heading2"/>
        <w:spacing w:before="120" w:after="80"/>
      </w:pPr>
      <w:r>
        <w:t>FINANCIAL COVENANTS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68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Covenant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Test Level</w:t>
            </w:r>
          </w:p>
        </w:tc>
        <w:tc>
          <w:tcPr>
            <w:tcW w:type="dxa" w:w="2592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Testing Frequency</w:t>
            </w:r>
          </w:p>
        </w:tc>
      </w:tr>
      <w:tr>
        <w:tc>
          <w:tcPr>
            <w:tcW w:type="dxa" w:w="3168"/>
          </w:tcPr>
          <w:p>
            <w:r>
              <w:rPr>
                <w:sz w:val="16"/>
              </w:rPr>
              <w:t>Net Debt / EBITDA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≤ 5.25x at close, stepping to ≤ 3.75x by Year 3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Semi-annual</w:t>
            </w:r>
          </w:p>
        </w:tc>
      </w:tr>
      <w:tr>
        <w:tc>
          <w:tcPr>
            <w:tcW w:type="dxa" w:w="3168"/>
          </w:tcPr>
          <w:p>
            <w:r>
              <w:rPr>
                <w:sz w:val="16"/>
              </w:rPr>
              <w:t>DSCR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≥ 1.15x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Semi-annual</w:t>
            </w:r>
          </w:p>
        </w:tc>
      </w:tr>
      <w:tr>
        <w:tc>
          <w:tcPr>
            <w:tcW w:type="dxa" w:w="3168"/>
          </w:tcPr>
          <w:p>
            <w:r>
              <w:rPr>
                <w:sz w:val="16"/>
              </w:rPr>
              <w:t>Interest Cover Ratio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≥ 3.0x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Semi-annual</w:t>
            </w:r>
          </w:p>
        </w:tc>
      </w:tr>
      <w:tr>
        <w:tc>
          <w:tcPr>
            <w:tcW w:type="dxa" w:w="3168"/>
          </w:tcPr>
          <w:p>
            <w:r>
              <w:rPr>
                <w:sz w:val="16"/>
              </w:rPr>
              <w:t>Minimum Liquidity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RM 15 million cash at all times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Quarterly</w:t>
            </w:r>
          </w:p>
        </w:tc>
      </w:tr>
    </w:tbl>
    <w:p>
      <w:pPr>
        <w:pStyle w:val="Heading2"/>
        <w:spacing w:before="120" w:after="80"/>
      </w:pPr>
      <w:r>
        <w:t>CONDITIONS PRECEDENT</w:t>
      </w:r>
    </w:p>
    <w:p>
      <w:pPr>
        <w:pStyle w:val="ListBullet"/>
      </w:pPr>
      <w:r>
        <w:t>Satisfactory completion of financial, legal and technical due diligence</w:t>
      </w:r>
    </w:p>
    <w:p>
      <w:pPr>
        <w:pStyle w:val="ListBullet"/>
      </w:pPr>
      <w:r>
        <w:t>Receipt of all regulatory approvals including approval from the Securities Commission</w:t>
      </w:r>
    </w:p>
    <w:p>
      <w:pPr>
        <w:pStyle w:val="ListBullet"/>
      </w:pPr>
      <w:r>
        <w:t>Execution of all transaction documents in form and substance acceptable to CIBB</w:t>
      </w:r>
    </w:p>
    <w:p>
      <w:pPr>
        <w:pStyle w:val="ListBullet"/>
      </w:pPr>
      <w:r>
        <w:t>No material adverse change in the financial condition of the Borrower</w:t>
      </w:r>
    </w:p>
    <w:p>
      <w:pPr>
        <w:pStyle w:val="ListBullet"/>
      </w:pPr>
      <w:r>
        <w:t>Delivery of audited financial statements for FY2025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