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200" w:after="80"/>
      </w:pPr>
      <w:r>
        <w:t>IT GOVERNANCE POLICY</w:t>
      </w:r>
    </w:p>
    <w:p>
      <w:pPr>
        <w:spacing w:after="100"/>
      </w:pPr>
      <w:r>
        <w:t>Contoso Investment Bank Berhad (CIBB)</w:t>
      </w:r>
    </w:p>
    <w:p>
      <w:pPr>
        <w:spacing w:after="100"/>
      </w:pPr>
      <w:r>
        <w:t>Policy Reference: IT-GOV-001 | Version: 3.2 | Effective: 1 January 2026</w:t>
      </w:r>
    </w:p>
    <w:p>
      <w:pPr>
        <w:spacing w:after="100"/>
      </w:pPr>
      <w:r>
        <w:t>Classification: Internal | Owner: Chief Information Officer</w:t>
      </w:r>
    </w:p>
    <w:p>
      <w:pPr>
        <w:spacing w:after="60" w:before="60"/>
        <w:pBdr>
          <w:bottom w:val="single" w:sz="4" w:space="1" w:color="CCCCCC"/>
        </w:pBdr>
      </w:pPr>
    </w:p>
    <w:p>
      <w:pPr>
        <w:pStyle w:val="Heading2"/>
        <w:spacing w:before="120" w:after="80"/>
      </w:pPr>
      <w:r>
        <w:t>1. PURPOSE AND SCOPE</w:t>
      </w:r>
    </w:p>
    <w:p>
      <w:pPr>
        <w:spacing w:after="100"/>
      </w:pPr>
      <w:r>
        <w:t>This IT Governance Policy establishes the framework for managing information technology resources at Contoso Investment Bank Berhad. It applies to all employees, contractors, vendors and third parties with access to CIBB IT systems, data and infrastructure.</w:t>
      </w:r>
    </w:p>
    <w:p>
      <w:pPr>
        <w:pStyle w:val="Heading2"/>
        <w:spacing w:before="120" w:after="80"/>
      </w:pPr>
      <w:r>
        <w:t>2. GOVERNANCE FRAMEWORK</w:t>
      </w:r>
    </w:p>
    <w:p>
      <w:pPr>
        <w:spacing w:after="100"/>
      </w:pPr>
      <w:r>
        <w:t>CIBB adopts the COBIT 2019 framework as the primary governance structure, supplemented by BNM Risk Management in Technology (RMiT) Policy Document (effective 2020) and ISO/IEC 27001:2022 Information Security Management standards.</w:t>
      </w:r>
    </w:p>
    <w:tbl>
      <w:tblPr>
        <w:tblStyle w:val="TableGrid"/>
        <w:tblW w:type="auto" w:w="0"/>
        <w:tblLook w:firstColumn="1" w:firstRow="1" w:lastColumn="0" w:lastRow="0" w:noHBand="0" w:noVBand="1" w:val="04A0"/>
      </w:tblPr>
      <w:tblGrid>
        <w:gridCol w:w="2351"/>
        <w:gridCol w:w="2351"/>
        <w:gridCol w:w="2351"/>
        <w:gridCol w:w="2351"/>
      </w:tblGrid>
      <w:tr>
        <w:tc>
          <w:tcPr>
            <w:tcW w:type="dxa" w:w="2880"/>
            <w:shd w:fill="003366" w:color="auto" w:val="clear"/>
          </w:tcPr>
          <w:p>
            <w:pPr>
              <w:jc w:val="center"/>
            </w:pPr>
            <w:r>
              <w:rPr>
                <w:b/>
                <w:color w:val="FFFFFF"/>
                <w:sz w:val="16"/>
              </w:rPr>
              <w:t>Committee</w:t>
            </w:r>
          </w:p>
        </w:tc>
        <w:tc>
          <w:tcPr>
            <w:tcW w:type="dxa" w:w="2160"/>
            <w:shd w:fill="003366" w:color="auto" w:val="clear"/>
          </w:tcPr>
          <w:p>
            <w:pPr>
              <w:jc w:val="center"/>
            </w:pPr>
            <w:r>
              <w:rPr>
                <w:b/>
                <w:color w:val="FFFFFF"/>
                <w:sz w:val="16"/>
              </w:rPr>
              <w:t>Frequency</w:t>
            </w:r>
          </w:p>
        </w:tc>
        <w:tc>
          <w:tcPr>
            <w:tcW w:type="dxa" w:w="2592"/>
            <w:shd w:fill="003366" w:color="auto" w:val="clear"/>
          </w:tcPr>
          <w:p>
            <w:pPr>
              <w:jc w:val="center"/>
            </w:pPr>
            <w:r>
              <w:rPr>
                <w:b/>
                <w:color w:val="FFFFFF"/>
                <w:sz w:val="16"/>
              </w:rPr>
              <w:t>Chair</w:t>
            </w:r>
          </w:p>
        </w:tc>
        <w:tc>
          <w:tcPr>
            <w:tcW w:type="dxa" w:w="3600"/>
            <w:shd w:fill="003366" w:color="auto" w:val="clear"/>
          </w:tcPr>
          <w:p>
            <w:pPr>
              <w:jc w:val="center"/>
            </w:pPr>
            <w:r>
              <w:rPr>
                <w:b/>
                <w:color w:val="FFFFFF"/>
                <w:sz w:val="16"/>
              </w:rPr>
              <w:t>Mandate</w:t>
            </w:r>
          </w:p>
        </w:tc>
      </w:tr>
      <w:tr>
        <w:tc>
          <w:tcPr>
            <w:tcW w:type="dxa" w:w="2880"/>
          </w:tcPr>
          <w:p>
            <w:r>
              <w:rPr>
                <w:sz w:val="16"/>
              </w:rPr>
              <w:t>IT Steering Committee</w:t>
            </w:r>
          </w:p>
        </w:tc>
        <w:tc>
          <w:tcPr>
            <w:tcW w:type="dxa" w:w="2160"/>
          </w:tcPr>
          <w:p>
            <w:r>
              <w:rPr>
                <w:sz w:val="16"/>
              </w:rPr>
              <w:t>Monthly</w:t>
            </w:r>
          </w:p>
        </w:tc>
        <w:tc>
          <w:tcPr>
            <w:tcW w:type="dxa" w:w="2592"/>
          </w:tcPr>
          <w:p>
            <w:r>
              <w:rPr>
                <w:sz w:val="16"/>
              </w:rPr>
              <w:t>CIO</w:t>
            </w:r>
          </w:p>
        </w:tc>
        <w:tc>
          <w:tcPr>
            <w:tcW w:type="dxa" w:w="3600"/>
          </w:tcPr>
          <w:p>
            <w:r>
              <w:rPr>
                <w:sz w:val="16"/>
              </w:rPr>
              <w:t>Strategic IT direction, budget approval</w:t>
            </w:r>
          </w:p>
        </w:tc>
      </w:tr>
      <w:tr>
        <w:tc>
          <w:tcPr>
            <w:tcW w:type="dxa" w:w="2880"/>
          </w:tcPr>
          <w:p>
            <w:r>
              <w:rPr>
                <w:sz w:val="16"/>
              </w:rPr>
              <w:t>Change Advisory Board (CAB)</w:t>
            </w:r>
          </w:p>
        </w:tc>
        <w:tc>
          <w:tcPr>
            <w:tcW w:type="dxa" w:w="2160"/>
          </w:tcPr>
          <w:p>
            <w:r>
              <w:rPr>
                <w:sz w:val="16"/>
              </w:rPr>
              <w:t>Bi-weekly</w:t>
            </w:r>
          </w:p>
        </w:tc>
        <w:tc>
          <w:tcPr>
            <w:tcW w:type="dxa" w:w="2592"/>
          </w:tcPr>
          <w:p>
            <w:r>
              <w:rPr>
                <w:sz w:val="16"/>
              </w:rPr>
              <w:t>VP IT Operations</w:t>
            </w:r>
          </w:p>
        </w:tc>
        <w:tc>
          <w:tcPr>
            <w:tcW w:type="dxa" w:w="3600"/>
          </w:tcPr>
          <w:p>
            <w:r>
              <w:rPr>
                <w:sz w:val="16"/>
              </w:rPr>
              <w:t>Approve standard/emergency changes</w:t>
            </w:r>
          </w:p>
        </w:tc>
      </w:tr>
      <w:tr>
        <w:tc>
          <w:tcPr>
            <w:tcW w:type="dxa" w:w="2880"/>
          </w:tcPr>
          <w:p>
            <w:r>
              <w:rPr>
                <w:sz w:val="16"/>
              </w:rPr>
              <w:t>Information Security Committee</w:t>
            </w:r>
          </w:p>
        </w:tc>
        <w:tc>
          <w:tcPr>
            <w:tcW w:type="dxa" w:w="2160"/>
          </w:tcPr>
          <w:p>
            <w:r>
              <w:rPr>
                <w:sz w:val="16"/>
              </w:rPr>
              <w:t>Monthly</w:t>
            </w:r>
          </w:p>
        </w:tc>
        <w:tc>
          <w:tcPr>
            <w:tcW w:type="dxa" w:w="2592"/>
          </w:tcPr>
          <w:p>
            <w:r>
              <w:rPr>
                <w:sz w:val="16"/>
              </w:rPr>
              <w:t>CISO</w:t>
            </w:r>
          </w:p>
        </w:tc>
        <w:tc>
          <w:tcPr>
            <w:tcW w:type="dxa" w:w="3600"/>
          </w:tcPr>
          <w:p>
            <w:r>
              <w:rPr>
                <w:sz w:val="16"/>
              </w:rPr>
              <w:t>Cybersecurity oversight, risk acceptance</w:t>
            </w:r>
          </w:p>
        </w:tc>
      </w:tr>
      <w:tr>
        <w:tc>
          <w:tcPr>
            <w:tcW w:type="dxa" w:w="2880"/>
          </w:tcPr>
          <w:p>
            <w:r>
              <w:rPr>
                <w:sz w:val="16"/>
              </w:rPr>
              <w:t>IT Risk &amp; Audit</w:t>
            </w:r>
          </w:p>
        </w:tc>
        <w:tc>
          <w:tcPr>
            <w:tcW w:type="dxa" w:w="2160"/>
          </w:tcPr>
          <w:p>
            <w:r>
              <w:rPr>
                <w:sz w:val="16"/>
              </w:rPr>
              <w:t>Quarterly</w:t>
            </w:r>
          </w:p>
        </w:tc>
        <w:tc>
          <w:tcPr>
            <w:tcW w:type="dxa" w:w="2592"/>
          </w:tcPr>
          <w:p>
            <w:r>
              <w:rPr>
                <w:sz w:val="16"/>
              </w:rPr>
              <w:t>CRO + Head IT Audit</w:t>
            </w:r>
          </w:p>
        </w:tc>
        <w:tc>
          <w:tcPr>
            <w:tcW w:type="dxa" w:w="3600"/>
          </w:tcPr>
          <w:p>
            <w:r>
              <w:rPr>
                <w:sz w:val="16"/>
              </w:rPr>
              <w:t>Risk review, audit findings remediation</w:t>
            </w:r>
          </w:p>
        </w:tc>
      </w:tr>
    </w:tbl>
    <w:p>
      <w:pPr>
        <w:pStyle w:val="Heading2"/>
        <w:spacing w:before="120" w:after="80"/>
      </w:pPr>
      <w:r>
        <w:t>3. CHANGE MANAGEMENT</w:t>
      </w:r>
    </w:p>
    <w:p>
      <w:pPr>
        <w:spacing w:after="100"/>
      </w:pPr>
      <w:r>
        <w:t>All changes to production IT systems must follow the CIBB Change Management Procedure (IT-OPS-003). Change categories are defined as Emergency, Standard, Normal, and Major.</w:t>
      </w:r>
    </w:p>
    <w:p>
      <w:pPr>
        <w:pStyle w:val="Heading2"/>
        <w:spacing w:before="120" w:after="80"/>
      </w:pPr>
      <w:r>
        <w:t>4. INCIDENT MANAGEMENT</w:t>
      </w:r>
    </w:p>
    <w:p>
      <w:pPr>
        <w:spacing w:after="100"/>
      </w:pPr>
      <w:r>
        <w:t>Severity levels are defined as P1 (Critical — service down), P2 (High — degraded), P3 (Medium — limited impact), and P4 (Low — cosmetic). P1 incidents require bridge call activation within 15 minutes and CIO notification within 30 minutes.</w:t>
      </w:r>
    </w:p>
    <w:p>
      <w:pPr>
        <w:pStyle w:val="Heading2"/>
        <w:spacing w:before="120" w:after="80"/>
      </w:pPr>
      <w:r>
        <w:t>5. BNM RMiT COMPLIANCE</w:t>
      </w:r>
    </w:p>
    <w:p>
      <w:pPr>
        <w:spacing w:after="100"/>
      </w:pPr>
      <w:r>
        <w:t>CIBB is required to comply with Bank Negara Malaysia's Risk Management in Technology (RMiT) policy. Key obligations include: Annual Cyber Resilience Assessment, submission of Technology Risk Assessment Report (TRAR) to BNM by 31 March each year, and notification of material cyber incidents within 6 hours of discovery.</w:t>
      </w:r>
    </w:p>
    <w:sectPr w:rsidR="00FC693F" w:rsidRPr="0006063C" w:rsidSect="0003461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