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CONTOSO INVESTMENT BANK BERHAD</w:t>
      </w:r>
    </w:p>
    <w:p>
      <w:pPr>
        <w:spacing w:after="100"/>
      </w:pPr>
      <w:r>
        <w:t>SOFTWARE LICENSE AGREEMENT — Analytics &amp; BI Platform</w:t>
      </w:r>
    </w:p>
    <w:p>
      <w:pPr>
        <w:spacing w:after="100"/>
      </w:pPr>
      <w:r>
        <w:t>Vendor: ConsultaSoft</w:t>
      </w:r>
    </w:p>
    <w:p>
      <w:pPr>
        <w:spacing w:after="100"/>
      </w:pPr>
      <w:r>
        <w:t>Contract Period: 1 July 2024 to 30 June 2027</w:t>
      </w:r>
    </w:p>
    <w:p>
      <w:pPr>
        <w:spacing w:after="100"/>
      </w:pPr>
      <w:r>
        <w:t>Contract Value: RM 145,000 per annum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1. PARTIES</w:t>
      </w:r>
    </w:p>
    <w:p>
      <w:pPr>
        <w:spacing w:after="100"/>
      </w:pPr>
      <w:r>
        <w:t>This Agreement is entered into between Contoso Investment Bank Berhad (CIBB), a licensed bank incorporated in Malaysia (Company No. 198601000123 (156789-P)), and ConsultaSoft ('Vendor').</w:t>
      </w:r>
    </w:p>
    <w:p>
      <w:pPr>
        <w:pStyle w:val="Heading2"/>
        <w:spacing w:before="120" w:after="80"/>
      </w:pPr>
      <w:r>
        <w:t>2. SCOPE OF SERVICES</w:t>
      </w:r>
    </w:p>
    <w:p>
      <w:pPr>
        <w:pStyle w:val="ListBullet"/>
      </w:pPr>
      <w:r>
        <w:t>Enterprise license for ConsultaSoft BI Suite v6</w:t>
      </w:r>
    </w:p>
    <w:p>
      <w:pPr>
        <w:pStyle w:val="ListBullet"/>
      </w:pPr>
      <w:r>
        <w:t>Unlimited named users within CIBB organisation</w:t>
      </w:r>
    </w:p>
    <w:p>
      <w:pPr>
        <w:pStyle w:val="ListBullet"/>
      </w:pPr>
      <w:r>
        <w:t>Access to Copilot connector and M365 integration module</w:t>
      </w:r>
    </w:p>
    <w:p>
      <w:pPr>
        <w:pStyle w:val="ListBullet"/>
      </w:pPr>
      <w:r>
        <w:t>Annual version upgrades and quarterly patch releases</w:t>
      </w:r>
    </w:p>
    <w:p>
      <w:pPr>
        <w:pStyle w:val="ListBullet"/>
      </w:pPr>
      <w:r>
        <w:t>On-site training (5 days/year) included</w:t>
      </w:r>
    </w:p>
    <w:p>
      <w:pPr>
        <w:pStyle w:val="Heading2"/>
        <w:spacing w:before="120" w:after="80"/>
      </w:pPr>
      <w:r>
        <w:t>3. PAYMENT TERMS</w:t>
      </w:r>
    </w:p>
    <w:p>
      <w:pPr>
        <w:spacing w:after="100"/>
      </w:pPr>
      <w:r>
        <w:t>The Bank shall pay the Vendor RM 145,000 per annum, invoiced quarterly in arrears. Payment is due within 30 days of invoice receipt.</w:t>
      </w:r>
    </w:p>
    <w:p>
      <w:pPr>
        <w:pStyle w:val="Heading2"/>
        <w:spacing w:before="120" w:after="80"/>
      </w:pPr>
      <w:r>
        <w:t>4. SERVICE LEVELS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SLA Metric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Penalty for Breach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System Uptime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99.9% per month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10% credit on monthly fee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Response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2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5% credit per incident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Incident Resolution (P1)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&lt; 8 hours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Additional 5% credit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Planned Maintenance Window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Max 4hrs/month, pre-approved</w:t>
            </w:r>
          </w:p>
        </w:tc>
        <w:tc>
          <w:tcPr>
            <w:tcW w:type="dxa" w:w="3600"/>
          </w:tcPr>
          <w:p>
            <w:r>
              <w:rPr>
                <w:sz w:val="16"/>
              </w:rPr>
              <w:t>Waived if approved</w:t>
            </w:r>
          </w:p>
        </w:tc>
      </w:tr>
    </w:tbl>
    <w:p>
      <w:pPr>
        <w:pStyle w:val="Heading2"/>
        <w:spacing w:before="120" w:after="80"/>
      </w:pPr>
      <w:r>
        <w:t>5. DATA PROTECTION &amp; SECURITY</w:t>
      </w:r>
    </w:p>
    <w:p>
      <w:pPr>
        <w:spacing w:after="100"/>
      </w:pPr>
      <w:r>
        <w:t>Vendor shall comply with the Personal Data Protection Act 2010 (PDPA), BNM RMiT requirements for third-party service providers, and CIBB's Third-Party Risk Management Policy (TPRM-001). All data shall remain within Malaysia jurisdiction.</w:t>
      </w:r>
    </w:p>
    <w:p>
      <w:pPr>
        <w:pStyle w:val="Heading2"/>
        <w:spacing w:before="120" w:after="80"/>
      </w:pPr>
      <w:r>
        <w:t>6. TERMINATION</w:t>
      </w:r>
    </w:p>
    <w:p>
      <w:pPr>
        <w:spacing w:after="100"/>
      </w:pPr>
      <w:r>
        <w:t>Either party may terminate this Agreement with 90 days written notice. CIBB may terminate immediately for cause including material breach, insolvency, or regulatory non-compliance.</w:t>
      </w:r>
    </w:p>
    <w:p>
      <w:pPr>
        <w:pStyle w:val="Heading2"/>
        <w:spacing w:before="120" w:after="80"/>
      </w:pPr>
      <w:r>
        <w:t>7. 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CIBB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Vendor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Authorised Signatory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Name / Title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Dato' Ahmad Nazmi, CEO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__________________________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Date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________________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