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before="200" w:after="80"/>
      </w:pPr>
      <w:r>
        <w:t>CONTOSO INVESTMENT BANK BERHAD</w:t>
      </w:r>
    </w:p>
    <w:p>
      <w:pPr>
        <w:spacing w:after="100"/>
      </w:pPr>
      <w:r>
        <w:t>STATEMENT OF WORK — Open Banking API Integration</w:t>
      </w:r>
    </w:p>
    <w:p>
      <w:pPr>
        <w:spacing w:after="100"/>
      </w:pPr>
      <w:r>
        <w:t>Vendor: BlueRiver Tech</w:t>
      </w:r>
    </w:p>
    <w:p>
      <w:pPr>
        <w:spacing w:after="100"/>
      </w:pPr>
      <w:r>
        <w:t>Contract Period: 1 January 2025 to 31 December 2025</w:t>
      </w:r>
    </w:p>
    <w:p>
      <w:pPr>
        <w:spacing w:after="100"/>
      </w:pPr>
      <w:r>
        <w:t>Contract Value: RM 220,000 per annum</w:t>
      </w:r>
    </w:p>
    <w:p>
      <w:pPr>
        <w:spacing w:after="60" w:before="60"/>
        <w:pBdr>
          <w:bottom w:val="single" w:sz="4" w:space="1" w:color="CCCCCC"/>
        </w:pBdr>
      </w:pPr>
    </w:p>
    <w:p>
      <w:pPr>
        <w:pStyle w:val="Heading2"/>
        <w:spacing w:before="120" w:after="80"/>
      </w:pPr>
      <w:r>
        <w:t>1. PARTIES</w:t>
      </w:r>
    </w:p>
    <w:p>
      <w:pPr>
        <w:spacing w:after="100"/>
      </w:pPr>
      <w:r>
        <w:t>This Agreement is entered into between Contoso Investment Bank Berhad (CIBB), a licensed bank incorporated in Malaysia (Company No. 198601000123 (156789-P)), and BlueRiver Tech ('Vendor').</w:t>
      </w:r>
    </w:p>
    <w:p>
      <w:pPr>
        <w:pStyle w:val="Heading2"/>
        <w:spacing w:before="120" w:after="80"/>
      </w:pPr>
      <w:r>
        <w:t>2. SCOPE OF SERVICES</w:t>
      </w:r>
    </w:p>
    <w:p>
      <w:pPr>
        <w:pStyle w:val="ListBullet"/>
      </w:pPr>
      <w:r>
        <w:t>Deliver FAPI 2.0 compliant API gateway layer</w:t>
      </w:r>
    </w:p>
    <w:p>
      <w:pPr>
        <w:pStyle w:val="ListBullet"/>
      </w:pPr>
      <w:r>
        <w:t>Integrate with BNM Open API Framework endpoints</w:t>
      </w:r>
    </w:p>
    <w:p>
      <w:pPr>
        <w:pStyle w:val="ListBullet"/>
      </w:pPr>
      <w:r>
        <w:t>Third-party developer portal setup and maintenance</w:t>
      </w:r>
    </w:p>
    <w:p>
      <w:pPr>
        <w:pStyle w:val="ListBullet"/>
      </w:pPr>
      <w:r>
        <w:t>API versioning management and backward compatibility</w:t>
      </w:r>
    </w:p>
    <w:p>
      <w:pPr>
        <w:pStyle w:val="ListBullet"/>
      </w:pPr>
      <w:r>
        <w:t>Load testing and certification support</w:t>
      </w:r>
    </w:p>
    <w:p>
      <w:pPr>
        <w:pStyle w:val="Heading2"/>
        <w:spacing w:before="120" w:after="80"/>
      </w:pPr>
      <w:r>
        <w:t>3. PAYMENT TERMS</w:t>
      </w:r>
    </w:p>
    <w:p>
      <w:pPr>
        <w:spacing w:after="100"/>
      </w:pPr>
      <w:r>
        <w:t>The Bank shall pay the Vendor RM 220,000 per annum, invoiced quarterly in arrears. Payment is due within 30 days of invoice receipt.</w:t>
      </w:r>
    </w:p>
    <w:p>
      <w:pPr>
        <w:pStyle w:val="Heading2"/>
        <w:spacing w:before="120" w:after="80"/>
      </w:pPr>
      <w:r>
        <w:t>4. SERVICE LEVELS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60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SLA Metric</w:t>
            </w:r>
          </w:p>
        </w:tc>
        <w:tc>
          <w:tcPr>
            <w:tcW w:type="dxa" w:w="288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Target</w:t>
            </w:r>
          </w:p>
        </w:tc>
        <w:tc>
          <w:tcPr>
            <w:tcW w:type="dxa" w:w="360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Penalty for Breach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System Uptime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99.9% per month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10% credit on monthly fee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Incident Response (P1)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&lt; 2 hours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5% credit per incident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Incident Resolution (P1)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&lt; 8 hours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Additional 5% credit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Planned Maintenance Window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Max 4hrs/month, pre-approved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Waived if approved</w:t>
            </w:r>
          </w:p>
        </w:tc>
      </w:tr>
    </w:tbl>
    <w:p>
      <w:pPr>
        <w:pStyle w:val="Heading2"/>
        <w:spacing w:before="120" w:after="80"/>
      </w:pPr>
      <w:r>
        <w:t>5. DATA PROTECTION &amp; SECURITY</w:t>
      </w:r>
    </w:p>
    <w:p>
      <w:pPr>
        <w:spacing w:after="100"/>
      </w:pPr>
      <w:r>
        <w:t>Vendor shall comply with the Personal Data Protection Act 2010 (PDPA), BNM RMiT requirements for third-party service providers, and CIBB's Third-Party Risk Management Policy (TPRM-001). All data shall remain within Malaysia jurisdiction.</w:t>
      </w:r>
    </w:p>
    <w:p>
      <w:pPr>
        <w:pStyle w:val="Heading2"/>
        <w:spacing w:before="120" w:after="80"/>
      </w:pPr>
      <w:r>
        <w:t>6. TERMINATION</w:t>
      </w:r>
    </w:p>
    <w:p>
      <w:pPr>
        <w:spacing w:after="100"/>
      </w:pPr>
      <w:r>
        <w:t>Either party may terminate this Agreement with 90 days written notice. CIBB may terminate immediately for cause including material breach, insolvency, or regulatory non-compliance.</w:t>
      </w:r>
    </w:p>
    <w:p>
      <w:pPr>
        <w:pStyle w:val="Heading2"/>
        <w:spacing w:before="120" w:after="80"/>
      </w:pPr>
      <w:r>
        <w:t>7. SIGNATURES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16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</w:r>
          </w:p>
        </w:tc>
        <w:tc>
          <w:tcPr>
            <w:tcW w:type="dxa" w:w="432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CIBB</w:t>
            </w:r>
          </w:p>
        </w:tc>
        <w:tc>
          <w:tcPr>
            <w:tcW w:type="dxa" w:w="432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Vendor</w:t>
            </w:r>
          </w:p>
        </w:tc>
      </w:tr>
      <w:tr>
        <w:tc>
          <w:tcPr>
            <w:tcW w:type="dxa" w:w="2160"/>
          </w:tcPr>
          <w:p>
            <w:r>
              <w:rPr>
                <w:sz w:val="16"/>
              </w:rPr>
              <w:t>Authorised Signatory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_______________________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_______________________</w:t>
            </w:r>
          </w:p>
        </w:tc>
      </w:tr>
      <w:tr>
        <w:tc>
          <w:tcPr>
            <w:tcW w:type="dxa" w:w="2160"/>
          </w:tcPr>
          <w:p>
            <w:r>
              <w:rPr>
                <w:sz w:val="16"/>
              </w:rPr>
              <w:t>Name / Title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Dato' Ahmad Nazmi, CEO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__________________________</w:t>
            </w:r>
          </w:p>
        </w:tc>
      </w:tr>
      <w:tr>
        <w:tc>
          <w:tcPr>
            <w:tcW w:type="dxa" w:w="2160"/>
          </w:tcPr>
          <w:p>
            <w:r>
              <w:rPr>
                <w:sz w:val="16"/>
              </w:rPr>
              <w:t>Date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________________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________________</w:t>
            </w:r>
          </w:p>
        </w:tc>
      </w:tr>
    </w:tbl>
    <w:sectPr w:rsidR="00FC693F" w:rsidRPr="0006063C" w:rsidSect="0003461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