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200" w:after="80"/>
      </w:pPr>
      <w:r>
        <w:t>ACCOUNT PLAN — ANGGERIK GROUP BHD</w:t>
      </w:r>
    </w:p>
    <w:p>
      <w:pPr>
        <w:spacing w:after="100"/>
      </w:pPr>
      <w:r>
        <w:t>Contoso Investment Bank Berhad | Corporate &amp; Investment Banking</w:t>
      </w:r>
    </w:p>
    <w:p>
      <w:pPr>
        <w:spacing w:after="100"/>
      </w:pPr>
      <w:r>
        <w:t>Relationship Manager: Priya Subramaniam, VP | Date: February 2026</w:t>
      </w:r>
    </w:p>
    <w:p>
      <w:pPr>
        <w:spacing w:after="100"/>
      </w:pPr>
      <w:r>
        <w:t>Client Tier: Tier 1 — Strategic | Sector: Diversified Conglomerate</w:t>
      </w:r>
    </w:p>
    <w:p>
      <w:pPr>
        <w:spacing w:after="60" w:before="60"/>
        <w:pBdr>
          <w:bottom w:val="single" w:sz="4" w:space="1" w:color="CCCCCC"/>
        </w:pBdr>
      </w:pPr>
    </w:p>
    <w:p>
      <w:pPr>
        <w:pStyle w:val="Heading2"/>
        <w:spacing w:before="120" w:after="80"/>
      </w:pPr>
      <w:r>
        <w:t>1. CLIENT OVERVIEW</w:t>
      </w:r>
    </w:p>
    <w:p>
      <w:pPr>
        <w:spacing w:after="100"/>
      </w:pPr>
      <w:r>
        <w:t>Anggerik Group Bhd is a Bursa Malaysia-listed diversified conglomerate with interests spanning property development, logistics, technology, and FMCG. Incorporated in 1995, the Group employs over 4,800 staff across Malaysia, Indonesia, and Vietnam.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Parameter</w:t>
            </w:r>
          </w:p>
        </w:tc>
        <w:tc>
          <w:tcPr>
            <w:tcW w:type="dxa" w:w="432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FY2025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Revenue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RM 1.24 billion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EBITDA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RM 198 million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Market Cap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~RM 2.1 billion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Net Debt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RM 420 million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Gearing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31%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Credit Rating</w:t>
            </w:r>
          </w:p>
        </w:tc>
        <w:tc>
          <w:tcPr>
            <w:tcW w:type="dxa" w:w="4320"/>
          </w:tcPr>
          <w:p>
            <w:r>
              <w:rPr>
                <w:sz w:val="16"/>
              </w:rPr>
              <w:t>BBB (MARC)</w:t>
            </w:r>
          </w:p>
        </w:tc>
      </w:tr>
    </w:tbl>
    <w:p>
      <w:pPr>
        <w:pStyle w:val="Heading2"/>
        <w:spacing w:before="120" w:after="80"/>
      </w:pPr>
      <w:r>
        <w:t>2. EXISTING CIBB FACILITIES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360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Facility</w:t>
            </w:r>
          </w:p>
        </w:tc>
        <w:tc>
          <w:tcPr>
            <w:tcW w:type="dxa" w:w="216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Limit (RM m)</w:t>
            </w:r>
          </w:p>
        </w:tc>
        <w:tc>
          <w:tcPr>
            <w:tcW w:type="dxa" w:w="1728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Drawn</w:t>
            </w:r>
          </w:p>
        </w:tc>
        <w:tc>
          <w:tcPr>
            <w:tcW w:type="dxa" w:w="216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Maturity</w:t>
            </w:r>
          </w:p>
        </w:tc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Rate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Revolving Credit Facility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150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120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Mar-2027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KLIBOR+180 bps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Term Loan — Pelangi Properties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200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200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Dec-2028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KLIBOR+220 bps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Trade Finance Lines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50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32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Rolling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As quoted</w:t>
            </w:r>
          </w:p>
        </w:tc>
      </w:tr>
      <w:tr>
        <w:tc>
          <w:tcPr>
            <w:tcW w:type="dxa" w:w="3600"/>
          </w:tcPr>
          <w:p>
            <w:r>
              <w:rPr>
                <w:sz w:val="16"/>
              </w:rPr>
              <w:t>FX Hedging ISDA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100 notional</w:t>
            </w:r>
          </w:p>
        </w:tc>
        <w:tc>
          <w:tcPr>
            <w:tcW w:type="dxa" w:w="1728"/>
          </w:tcPr>
          <w:p>
            <w:r>
              <w:rPr>
                <w:sz w:val="16"/>
              </w:rPr>
              <w:t>Varies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Rolling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Market</w:t>
            </w:r>
          </w:p>
        </w:tc>
      </w:tr>
    </w:tbl>
    <w:p>
      <w:pPr>
        <w:pStyle w:val="Heading2"/>
        <w:spacing w:before="120" w:after="80"/>
      </w:pPr>
      <w:r>
        <w:t>3. FY2026 STRATEGIC OBJECTIVES</w:t>
      </w:r>
    </w:p>
    <w:p>
      <w:pPr>
        <w:pStyle w:val="ListBullet"/>
      </w:pPr>
      <w:r>
        <w:t>Refinance maturing RCF before March 2027 — target improved pricing at KLIBOR+150 bps</w:t>
      </w:r>
    </w:p>
    <w:p>
      <w:pPr>
        <w:pStyle w:val="ListBullet"/>
      </w:pPr>
      <w:r>
        <w:t>Arrange acquisition financing for potential acquisition of logistics target in Vietnam (est. RM 180M)</w:t>
      </w:r>
    </w:p>
    <w:p>
      <w:pPr>
        <w:pStyle w:val="ListBullet"/>
      </w:pPr>
      <w:r>
        <w:t>Cross-sell Copilot for Finance to CFO office — Mei Ling Yap to arrange M365 Copilot demo Q1</w:t>
      </w:r>
    </w:p>
    <w:p>
      <w:pPr>
        <w:pStyle w:val="ListBullet"/>
      </w:pPr>
      <w:r>
        <w:t>Deepen Equity Capital Markets relationship — IPO of Merdeka Tech Solutions targeted H2 2026</w:t>
      </w:r>
    </w:p>
    <w:p>
      <w:pPr>
        <w:pStyle w:val="ListBullet"/>
      </w:pPr>
      <w:r>
        <w:t>Introduce CIBB FX Advisory for Vietnam operations hedging programme</w:t>
      </w:r>
    </w:p>
    <w:p>
      <w:pPr>
        <w:pStyle w:val="Heading2"/>
        <w:spacing w:before="120" w:after="80"/>
      </w:pPr>
      <w:r>
        <w:t>4. KEY CONTACTS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Name</w:t>
            </w:r>
          </w:p>
        </w:tc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Title</w:t>
            </w:r>
          </w:p>
        </w:tc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Coverage</w:t>
            </w:r>
          </w:p>
        </w:tc>
        <w:tc>
          <w:tcPr>
            <w:tcW w:type="dxa" w:w="2880"/>
            <w:shd w:fill="003366" w:color="auto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Contact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Dato' Suresh Chandran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Group CEO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CIBB Lead RM: Priya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0122-888-7654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Ms Loh Siew Fang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Group CFO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CIBB Lead RM: Priya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0122-888-7655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Mr Hashim Abdul Rahman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Group Treasurer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CIBB Treasury: Daniel Lim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0122-888-7656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Ms Rena Krishnan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Head Legal &amp; Compliance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CIBB Compliance: Sarah Ng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0122-888-7657</w:t>
            </w:r>
          </w:p>
        </w:tc>
      </w:tr>
    </w:tbl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