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200" w:after="80"/>
      </w:pPr>
      <w:r>
        <w:t>INCIDENT POST-MORTEM REPORT</w:t>
      </w:r>
    </w:p>
    <w:p>
      <w:pPr>
        <w:spacing w:after="100"/>
      </w:pPr>
      <w:r>
        <w:t>Contoso Investment Bank Berhad — IT Operations &amp; Resilience</w:t>
      </w:r>
    </w:p>
    <w:p>
      <w:pPr>
        <w:spacing w:after="100"/>
      </w:pPr>
      <w:r>
        <w:t>Incident Reference: INC-2026-0314 | Severity: P1 — Critical</w:t>
      </w:r>
    </w:p>
    <w:p>
      <w:pPr>
        <w:spacing w:after="100"/>
      </w:pPr>
      <w:r>
        <w:t>Incident: Online Banking Portal Outage | Date: 14 March 2026</w:t>
      </w:r>
    </w:p>
    <w:p>
      <w:pPr>
        <w:spacing w:after="100"/>
      </w:pPr>
      <w:r>
        <w:t>Report Prepared By: Daniel Lim, VP IT Operations | Date: 18 March 2026</w:t>
      </w:r>
    </w:p>
    <w:p>
      <w:pPr>
        <w:spacing w:after="60" w:before="60"/>
        <w:pBdr>
          <w:bottom w:val="single" w:sz="4" w:space="1" w:color="CCCCCC"/>
        </w:pBdr>
      </w:pPr>
    </w:p>
    <w:p>
      <w:pPr>
        <w:pStyle w:val="Heading2"/>
        <w:spacing w:before="120" w:after="80"/>
      </w:pPr>
      <w:r>
        <w:t>1. INCIDENT SUMMARY</w:t>
      </w:r>
    </w:p>
    <w:p>
      <w:pPr>
        <w:spacing w:after="100"/>
      </w:pPr>
      <w:r>
        <w:t>On 14 March 2026 at 14:37 MYT, CIBB's Internet Banking Portal became unavailable to retail and SME customers. The outage lasted 3 hours 22 minutes, affecting approximately 42,000 active sessions. Fund transfers, bill payments, and account enquiries were unavailable during this period. The incident was classified P1 — Critical per CIBB's Incident Management Policy (IT-OPS-005).</w:t>
      </w:r>
    </w:p>
    <w:p>
      <w:pPr>
        <w:pStyle w:val="Heading2"/>
        <w:spacing w:before="120" w:after="80"/>
      </w:pPr>
      <w:r>
        <w:t>2. TIMELINE</w:t>
      </w:r>
    </w:p>
    <w:tbl>
      <w:tblPr>
        <w:tblStyle w:val="TableGrid"/>
        <w:tblW w:type="auto" w:w="0"/>
        <w:tblLook w:firstColumn="1" w:firstRow="1" w:lastColumn="0" w:lastRow="0" w:noHBand="0" w:noVBand="1" w:val="04A0"/>
      </w:tblPr>
      <w:tblGrid>
        <w:gridCol w:w="4703"/>
        <w:gridCol w:w="4703"/>
      </w:tblGrid>
      <w:tr>
        <w:tc>
          <w:tcPr>
            <w:tcW w:type="dxa" w:w="2880"/>
            <w:shd w:fill="003366" w:color="auto" w:val="clear"/>
          </w:tcPr>
          <w:p>
            <w:pPr>
              <w:jc w:val="center"/>
            </w:pPr>
            <w:r>
              <w:rPr>
                <w:b/>
                <w:color w:val="FFFFFF"/>
                <w:sz w:val="16"/>
              </w:rPr>
              <w:t>Time (MYT)</w:t>
            </w:r>
          </w:p>
        </w:tc>
        <w:tc>
          <w:tcPr>
            <w:tcW w:type="dxa" w:w="7200"/>
            <w:shd w:fill="003366" w:color="auto" w:val="clear"/>
          </w:tcPr>
          <w:p>
            <w:pPr>
              <w:jc w:val="center"/>
            </w:pPr>
            <w:r>
              <w:rPr>
                <w:b/>
                <w:color w:val="FFFFFF"/>
                <w:sz w:val="16"/>
              </w:rPr>
              <w:t>Event</w:t>
            </w:r>
          </w:p>
        </w:tc>
      </w:tr>
      <w:tr>
        <w:tc>
          <w:tcPr>
            <w:tcW w:type="dxa" w:w="2880"/>
          </w:tcPr>
          <w:p>
            <w:r>
              <w:rPr>
                <w:sz w:val="16"/>
              </w:rPr>
              <w:t>14:37</w:t>
            </w:r>
          </w:p>
        </w:tc>
        <w:tc>
          <w:tcPr>
            <w:tcW w:type="dxa" w:w="7200"/>
          </w:tcPr>
          <w:p>
            <w:r>
              <w:rPr>
                <w:sz w:val="16"/>
              </w:rPr>
              <w:t>Customer complaints received via Contact Centre — portal unavailable</w:t>
            </w:r>
          </w:p>
        </w:tc>
      </w:tr>
      <w:tr>
        <w:tc>
          <w:tcPr>
            <w:tcW w:type="dxa" w:w="2880"/>
          </w:tcPr>
          <w:p>
            <w:r>
              <w:rPr>
                <w:sz w:val="16"/>
              </w:rPr>
              <w:t>14:42</w:t>
            </w:r>
          </w:p>
        </w:tc>
        <w:tc>
          <w:tcPr>
            <w:tcW w:type="dxa" w:w="7200"/>
          </w:tcPr>
          <w:p>
            <w:r>
              <w:rPr>
                <w:sz w:val="16"/>
              </w:rPr>
              <w:t>IT Helpdesk escalates to L2 Application Support team</w:t>
            </w:r>
          </w:p>
        </w:tc>
      </w:tr>
      <w:tr>
        <w:tc>
          <w:tcPr>
            <w:tcW w:type="dxa" w:w="2880"/>
          </w:tcPr>
          <w:p>
            <w:r>
              <w:rPr>
                <w:sz w:val="16"/>
              </w:rPr>
              <w:t>14:50</w:t>
            </w:r>
          </w:p>
        </w:tc>
        <w:tc>
          <w:tcPr>
            <w:tcW w:type="dxa" w:w="7200"/>
          </w:tcPr>
          <w:p>
            <w:r>
              <w:rPr>
                <w:sz w:val="16"/>
              </w:rPr>
              <w:t>Incident bridge call initiated; CIO Daniel Lim takes ownership</w:t>
            </w:r>
          </w:p>
        </w:tc>
      </w:tr>
      <w:tr>
        <w:tc>
          <w:tcPr>
            <w:tcW w:type="dxa" w:w="2880"/>
          </w:tcPr>
          <w:p>
            <w:r>
              <w:rPr>
                <w:sz w:val="16"/>
              </w:rPr>
              <w:t>14:55</w:t>
            </w:r>
          </w:p>
        </w:tc>
        <w:tc>
          <w:tcPr>
            <w:tcW w:type="dxa" w:w="7200"/>
          </w:tcPr>
          <w:p>
            <w:r>
              <w:rPr>
                <w:sz w:val="16"/>
              </w:rPr>
              <w:t>Root cause identified as network ACL misconfiguration on F5 load balancer</w:t>
            </w:r>
          </w:p>
        </w:tc>
      </w:tr>
      <w:tr>
        <w:tc>
          <w:tcPr>
            <w:tcW w:type="dxa" w:w="2880"/>
          </w:tcPr>
          <w:p>
            <w:r>
              <w:rPr>
                <w:sz w:val="16"/>
              </w:rPr>
              <w:t>15:10</w:t>
            </w:r>
          </w:p>
        </w:tc>
        <w:tc>
          <w:tcPr>
            <w:tcW w:type="dxa" w:w="7200"/>
          </w:tcPr>
          <w:p>
            <w:r>
              <w:rPr>
                <w:sz w:val="16"/>
              </w:rPr>
              <w:t>BNM notified per RMiT incident notification requirement (within 1 hour)</w:t>
            </w:r>
          </w:p>
        </w:tc>
      </w:tr>
      <w:tr>
        <w:tc>
          <w:tcPr>
            <w:tcW w:type="dxa" w:w="2880"/>
          </w:tcPr>
          <w:p>
            <w:r>
              <w:rPr>
                <w:sz w:val="16"/>
              </w:rPr>
              <w:t>15:30</w:t>
            </w:r>
          </w:p>
        </w:tc>
        <w:tc>
          <w:tcPr>
            <w:tcW w:type="dxa" w:w="7200"/>
          </w:tcPr>
          <w:p>
            <w:r>
              <w:rPr>
                <w:sz w:val="16"/>
              </w:rPr>
              <w:t>Rollback of network change initiated by Infrastructure team</w:t>
            </w:r>
          </w:p>
        </w:tc>
      </w:tr>
      <w:tr>
        <w:tc>
          <w:tcPr>
            <w:tcW w:type="dxa" w:w="2880"/>
          </w:tcPr>
          <w:p>
            <w:r>
              <w:rPr>
                <w:sz w:val="16"/>
              </w:rPr>
              <w:t>17:45</w:t>
            </w:r>
          </w:p>
        </w:tc>
        <w:tc>
          <w:tcPr>
            <w:tcW w:type="dxa" w:w="7200"/>
          </w:tcPr>
          <w:p>
            <w:r>
              <w:rPr>
                <w:sz w:val="16"/>
              </w:rPr>
              <w:t>Portal services fully restored; all customer transactions processing normally</w:t>
            </w:r>
          </w:p>
        </w:tc>
      </w:tr>
      <w:tr>
        <w:tc>
          <w:tcPr>
            <w:tcW w:type="dxa" w:w="2880"/>
          </w:tcPr>
          <w:p>
            <w:r>
              <w:rPr>
                <w:sz w:val="16"/>
              </w:rPr>
              <w:t>17:55</w:t>
            </w:r>
          </w:p>
        </w:tc>
        <w:tc>
          <w:tcPr>
            <w:tcW w:type="dxa" w:w="7200"/>
          </w:tcPr>
          <w:p>
            <w:r>
              <w:rPr>
                <w:sz w:val="16"/>
              </w:rPr>
              <w:t>Incident bridge closed; recovery confirmed</w:t>
            </w:r>
          </w:p>
        </w:tc>
      </w:tr>
      <w:tr>
        <w:tc>
          <w:tcPr>
            <w:tcW w:type="dxa" w:w="2880"/>
          </w:tcPr>
          <w:p>
            <w:r>
              <w:rPr>
                <w:sz w:val="16"/>
              </w:rPr>
              <w:t>18:10</w:t>
            </w:r>
          </w:p>
        </w:tc>
        <w:tc>
          <w:tcPr>
            <w:tcW w:type="dxa" w:w="7200"/>
          </w:tcPr>
          <w:p>
            <w:r>
              <w:rPr>
                <w:sz w:val="16"/>
              </w:rPr>
              <w:t>Initial incident report submitted to BNM</w:t>
            </w:r>
          </w:p>
        </w:tc>
      </w:tr>
    </w:tbl>
    <w:p>
      <w:pPr>
        <w:pStyle w:val="Heading2"/>
        <w:spacing w:before="120" w:after="80"/>
      </w:pPr>
      <w:r>
        <w:t>3. ROOT CAUSE ANALYSIS</w:t>
      </w:r>
    </w:p>
    <w:p>
      <w:pPr>
        <w:spacing w:after="100"/>
      </w:pPr>
      <w:r>
        <w:t>A network ACL rule change was deployed at 14:30 as part of Change Request CR-2026-022 (Standard — approved at CAB 12-Mar-2026). The change was intended to block a new range of suspicious IP addresses identified by the SOC team. However, the ACL rule inadvertently blocked the health-check IP range used by the F5 load balancer, causing it to mark all application pool members as offline and cease routing customer traffic.</w:t>
      </w:r>
    </w:p>
    <w:p>
      <w:pPr>
        <w:pStyle w:val="Heading2"/>
        <w:spacing w:before="120" w:after="80"/>
      </w:pPr>
      <w:r>
        <w:t>4. CONTRIBUTING FACTORS</w:t>
      </w:r>
    </w:p>
    <w:p>
      <w:pPr>
        <w:pStyle w:val="ListBullet"/>
      </w:pPr>
      <w:r>
        <w:t>Insufficient pre-deployment testing — health-check IP range not included in test matrix</w:t>
      </w:r>
    </w:p>
    <w:p>
      <w:pPr>
        <w:pStyle w:val="ListBullet"/>
      </w:pPr>
      <w:r>
        <w:t>CAB review did not include network architecture SME who would have identified the dependency</w:t>
      </w:r>
    </w:p>
    <w:p>
      <w:pPr>
        <w:pStyle w:val="ListBullet"/>
      </w:pPr>
      <w:r>
        <w:t>Automated monitoring alert threshold set too high (&gt;5 min response delay) — delayed detection by ~5 minutes</w:t>
      </w:r>
    </w:p>
    <w:p>
      <w:pPr>
        <w:pStyle w:val="ListBullet"/>
      </w:pPr>
      <w:r>
        <w:t>Runbook for F5 ACL changes was outdated and did not reference current health-check IP ranges</w:t>
      </w:r>
    </w:p>
    <w:p>
      <w:pPr>
        <w:pStyle w:val="Heading2"/>
        <w:spacing w:before="120" w:after="80"/>
      </w:pPr>
      <w:r>
        <w:t>5. IMPACT ASSESSMENT</w:t>
      </w:r>
    </w:p>
    <w:tbl>
      <w:tblPr>
        <w:tblStyle w:val="TableGrid"/>
        <w:tblW w:type="auto" w:w="0"/>
        <w:tblLook w:firstColumn="1" w:firstRow="1" w:lastColumn="0" w:lastRow="0" w:noHBand="0" w:noVBand="1" w:val="04A0"/>
      </w:tblPr>
      <w:tblGrid>
        <w:gridCol w:w="4703"/>
        <w:gridCol w:w="4703"/>
      </w:tblGrid>
      <w:tr>
        <w:tc>
          <w:tcPr>
            <w:tcW w:type="dxa" w:w="3600"/>
            <w:shd w:fill="003366" w:color="auto" w:val="clear"/>
          </w:tcPr>
          <w:p>
            <w:pPr>
              <w:jc w:val="center"/>
            </w:pPr>
            <w:r>
              <w:rPr>
                <w:b/>
                <w:color w:val="FFFFFF"/>
                <w:sz w:val="16"/>
              </w:rPr>
              <w:t>Impact Area</w:t>
            </w:r>
          </w:p>
        </w:tc>
        <w:tc>
          <w:tcPr>
            <w:tcW w:type="dxa" w:w="7200"/>
            <w:shd w:fill="003366" w:color="auto" w:val="clear"/>
          </w:tcPr>
          <w:p>
            <w:pPr>
              <w:jc w:val="center"/>
            </w:pPr>
            <w:r>
              <w:rPr>
                <w:b/>
                <w:color w:val="FFFFFF"/>
                <w:sz w:val="16"/>
              </w:rPr>
              <w:t>Detail</w:t>
            </w:r>
          </w:p>
        </w:tc>
      </w:tr>
      <w:tr>
        <w:tc>
          <w:tcPr>
            <w:tcW w:type="dxa" w:w="3600"/>
          </w:tcPr>
          <w:p>
            <w:r>
              <w:rPr>
                <w:sz w:val="16"/>
              </w:rPr>
              <w:t>Customer Impact</w:t>
            </w:r>
          </w:p>
        </w:tc>
        <w:tc>
          <w:tcPr>
            <w:tcW w:type="dxa" w:w="7200"/>
          </w:tcPr>
          <w:p>
            <w:r>
              <w:rPr>
                <w:sz w:val="16"/>
              </w:rPr>
              <w:t>~42,000 active sessions disrupted; ~8,400 attempted transactions failed</w:t>
            </w:r>
          </w:p>
        </w:tc>
      </w:tr>
      <w:tr>
        <w:tc>
          <w:tcPr>
            <w:tcW w:type="dxa" w:w="3600"/>
          </w:tcPr>
          <w:p>
            <w:r>
              <w:rPr>
                <w:sz w:val="16"/>
              </w:rPr>
              <w:t>Financial Impact</w:t>
            </w:r>
          </w:p>
        </w:tc>
        <w:tc>
          <w:tcPr>
            <w:tcW w:type="dxa" w:w="7200"/>
          </w:tcPr>
          <w:p>
            <w:r>
              <w:rPr>
                <w:sz w:val="16"/>
              </w:rPr>
              <w:t>Est. RM 120,000 goodwill credit to affected customers; waived transaction fees</w:t>
            </w:r>
          </w:p>
        </w:tc>
      </w:tr>
      <w:tr>
        <w:tc>
          <w:tcPr>
            <w:tcW w:type="dxa" w:w="3600"/>
          </w:tcPr>
          <w:p>
            <w:r>
              <w:rPr>
                <w:sz w:val="16"/>
              </w:rPr>
              <w:t>Regulatory Impact</w:t>
            </w:r>
          </w:p>
        </w:tc>
        <w:tc>
          <w:tcPr>
            <w:tcW w:type="dxa" w:w="7200"/>
          </w:tcPr>
          <w:p>
            <w:r>
              <w:rPr>
                <w:sz w:val="16"/>
              </w:rPr>
              <w:t>BNM notified within required timeframe; incident report filed</w:t>
            </w:r>
          </w:p>
        </w:tc>
      </w:tr>
      <w:tr>
        <w:tc>
          <w:tcPr>
            <w:tcW w:type="dxa" w:w="3600"/>
          </w:tcPr>
          <w:p>
            <w:r>
              <w:rPr>
                <w:sz w:val="16"/>
              </w:rPr>
              <w:t>Reputational Impact</w:t>
            </w:r>
          </w:p>
        </w:tc>
        <w:tc>
          <w:tcPr>
            <w:tcW w:type="dxa" w:w="7200"/>
          </w:tcPr>
          <w:p>
            <w:r>
              <w:rPr>
                <w:sz w:val="16"/>
              </w:rPr>
              <w:t>Social media complaints; Contact Centre volume +340% during incident</w:t>
            </w:r>
          </w:p>
        </w:tc>
      </w:tr>
      <w:tr>
        <w:tc>
          <w:tcPr>
            <w:tcW w:type="dxa" w:w="3600"/>
          </w:tcPr>
          <w:p>
            <w:r>
              <w:rPr>
                <w:sz w:val="16"/>
              </w:rPr>
              <w:t>SLA Breach</w:t>
            </w:r>
          </w:p>
        </w:tc>
        <w:tc>
          <w:tcPr>
            <w:tcW w:type="dxa" w:w="7200"/>
          </w:tcPr>
          <w:p>
            <w:r>
              <w:rPr>
                <w:sz w:val="16"/>
              </w:rPr>
              <w:t>Monthly availability SLA 99.9% breached — actual 99.53% for March 2026</w:t>
            </w:r>
          </w:p>
        </w:tc>
      </w:tr>
    </w:tbl>
    <w:p>
      <w:pPr>
        <w:pStyle w:val="Heading2"/>
        <w:spacing w:before="120" w:after="80"/>
      </w:pPr>
      <w:r>
        <w:t>6. CORRECTIVE ACTIONS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720"/>
            <w:shd w:fill="003366" w:color="auto" w:val="clear"/>
          </w:tcPr>
          <w:p>
            <w:pPr>
              <w:jc w:val="center"/>
            </w:pPr>
            <w:r>
              <w:rPr>
                <w:b/>
                <w:color w:val="FFFFFF"/>
                <w:sz w:val="16"/>
              </w:rPr>
              <w:t>#</w:t>
            </w:r>
          </w:p>
        </w:tc>
        <w:tc>
          <w:tcPr>
            <w:tcW w:type="dxa" w:w="4320"/>
            <w:shd w:fill="003366" w:color="auto" w:val="clear"/>
          </w:tcPr>
          <w:p>
            <w:pPr>
              <w:jc w:val="center"/>
            </w:pPr>
            <w:r>
              <w:rPr>
                <w:b/>
                <w:color w:val="FFFFFF"/>
                <w:sz w:val="16"/>
              </w:rPr>
              <w:t>Action</w:t>
            </w:r>
          </w:p>
        </w:tc>
        <w:tc>
          <w:tcPr>
            <w:tcW w:type="dxa" w:w="2592"/>
            <w:shd w:fill="003366" w:color="auto" w:val="clear"/>
          </w:tcPr>
          <w:p>
            <w:pPr>
              <w:jc w:val="center"/>
            </w:pPr>
            <w:r>
              <w:rPr>
                <w:b/>
                <w:color w:val="FFFFFF"/>
                <w:sz w:val="16"/>
              </w:rPr>
              <w:t>Owner</w:t>
            </w:r>
          </w:p>
        </w:tc>
        <w:tc>
          <w:tcPr>
            <w:tcW w:type="dxa" w:w="2160"/>
            <w:shd w:fill="003366" w:color="auto" w:val="clear"/>
          </w:tcPr>
          <w:p>
            <w:pPr>
              <w:jc w:val="center"/>
            </w:pPr>
            <w:r>
              <w:rPr>
                <w:b/>
                <w:color w:val="FFFFFF"/>
                <w:sz w:val="16"/>
              </w:rPr>
              <w:t>Due Date</w:t>
            </w:r>
          </w:p>
        </w:tc>
        <w:tc>
          <w:tcPr>
            <w:tcW w:type="dxa" w:w="2160"/>
            <w:shd w:fill="003366" w:color="auto" w:val="clear"/>
          </w:tcPr>
          <w:p>
            <w:pPr>
              <w:jc w:val="center"/>
            </w:pPr>
            <w:r>
              <w:rPr>
                <w:b/>
                <w:color w:val="FFFFFF"/>
                <w:sz w:val="16"/>
              </w:rPr>
              <w:t>Status</w:t>
            </w:r>
          </w:p>
        </w:tc>
      </w:tr>
      <w:tr>
        <w:tc>
          <w:tcPr>
            <w:tcW w:type="dxa" w:w="720"/>
          </w:tcPr>
          <w:p>
            <w:r>
              <w:rPr>
                <w:sz w:val="16"/>
              </w:rPr>
              <w:t>CA-01</w:t>
            </w:r>
          </w:p>
        </w:tc>
        <w:tc>
          <w:tcPr>
            <w:tcW w:type="dxa" w:w="4320"/>
          </w:tcPr>
          <w:p>
            <w:r>
              <w:rPr>
                <w:sz w:val="16"/>
              </w:rPr>
              <w:t>Update F5 health-check IP range in ACL change runbook</w:t>
            </w:r>
          </w:p>
        </w:tc>
        <w:tc>
          <w:tcPr>
            <w:tcW w:type="dxa" w:w="2592"/>
          </w:tcPr>
          <w:p>
            <w:r>
              <w:rPr>
                <w:sz w:val="16"/>
              </w:rPr>
              <w:t>Daniel Lim</w:t>
            </w:r>
          </w:p>
        </w:tc>
        <w:tc>
          <w:tcPr>
            <w:tcW w:type="dxa" w:w="2160"/>
          </w:tcPr>
          <w:p>
            <w:r>
              <w:rPr>
                <w:sz w:val="16"/>
              </w:rPr>
              <w:t>21-Mar-2026</w:t>
            </w:r>
          </w:p>
        </w:tc>
        <w:tc>
          <w:tcPr>
            <w:tcW w:type="dxa" w:w="2160"/>
          </w:tcPr>
          <w:p>
            <w:r>
              <w:rPr>
                <w:sz w:val="16"/>
              </w:rPr>
              <w:t>Completed</w:t>
            </w:r>
          </w:p>
        </w:tc>
      </w:tr>
      <w:tr>
        <w:tc>
          <w:tcPr>
            <w:tcW w:type="dxa" w:w="720"/>
          </w:tcPr>
          <w:p>
            <w:r>
              <w:rPr>
                <w:sz w:val="16"/>
              </w:rPr>
              <w:t>CA-02</w:t>
            </w:r>
          </w:p>
        </w:tc>
        <w:tc>
          <w:tcPr>
            <w:tcW w:type="dxa" w:w="4320"/>
          </w:tcPr>
          <w:p>
            <w:r>
              <w:rPr>
                <w:sz w:val="16"/>
              </w:rPr>
              <w:t>Add mandatory network architect sign-off to all ACL change requests</w:t>
            </w:r>
          </w:p>
        </w:tc>
        <w:tc>
          <w:tcPr>
            <w:tcW w:type="dxa" w:w="2592"/>
          </w:tcPr>
          <w:p>
            <w:r>
              <w:rPr>
                <w:sz w:val="16"/>
              </w:rPr>
              <w:t>VP IT Ops</w:t>
            </w:r>
          </w:p>
        </w:tc>
        <w:tc>
          <w:tcPr>
            <w:tcW w:type="dxa" w:w="2160"/>
          </w:tcPr>
          <w:p>
            <w:r>
              <w:rPr>
                <w:sz w:val="16"/>
              </w:rPr>
              <w:t>28-Mar-2026</w:t>
            </w:r>
          </w:p>
        </w:tc>
        <w:tc>
          <w:tcPr>
            <w:tcW w:type="dxa" w:w="2160"/>
          </w:tcPr>
          <w:p>
            <w:r>
              <w:rPr>
                <w:sz w:val="16"/>
              </w:rPr>
              <w:t>In Progress</w:t>
            </w:r>
          </w:p>
        </w:tc>
      </w:tr>
      <w:tr>
        <w:tc>
          <w:tcPr>
            <w:tcW w:type="dxa" w:w="720"/>
          </w:tcPr>
          <w:p>
            <w:r>
              <w:rPr>
                <w:sz w:val="16"/>
              </w:rPr>
              <w:t>CA-03</w:t>
            </w:r>
          </w:p>
        </w:tc>
        <w:tc>
          <w:tcPr>
            <w:tcW w:type="dxa" w:w="4320"/>
          </w:tcPr>
          <w:p>
            <w:r>
              <w:rPr>
                <w:sz w:val="16"/>
              </w:rPr>
              <w:t>Reduce automated alert threshold for portal availability to 90 seconds</w:t>
            </w:r>
          </w:p>
        </w:tc>
        <w:tc>
          <w:tcPr>
            <w:tcW w:type="dxa" w:w="2592"/>
          </w:tcPr>
          <w:p>
            <w:r>
              <w:rPr>
                <w:sz w:val="16"/>
              </w:rPr>
              <w:t>IT Monitoring Team</w:t>
            </w:r>
          </w:p>
        </w:tc>
        <w:tc>
          <w:tcPr>
            <w:tcW w:type="dxa" w:w="2160"/>
          </w:tcPr>
          <w:p>
            <w:r>
              <w:rPr>
                <w:sz w:val="16"/>
              </w:rPr>
              <w:t>28-Mar-2026</w:t>
            </w:r>
          </w:p>
        </w:tc>
        <w:tc>
          <w:tcPr>
            <w:tcW w:type="dxa" w:w="2160"/>
          </w:tcPr>
          <w:p>
            <w:r>
              <w:rPr>
                <w:sz w:val="16"/>
              </w:rPr>
              <w:t>In Progress</w:t>
            </w:r>
          </w:p>
        </w:tc>
      </w:tr>
      <w:tr>
        <w:tc>
          <w:tcPr>
            <w:tcW w:type="dxa" w:w="720"/>
          </w:tcPr>
          <w:p>
            <w:r>
              <w:rPr>
                <w:sz w:val="16"/>
              </w:rPr>
              <w:t>CA-04</w:t>
            </w:r>
          </w:p>
        </w:tc>
        <w:tc>
          <w:tcPr>
            <w:tcW w:type="dxa" w:w="4320"/>
          </w:tcPr>
          <w:p>
            <w:r>
              <w:rPr>
                <w:sz w:val="16"/>
              </w:rPr>
              <w:t>Conduct full review of all CAB-approved changes in Q1 2026 against test matrices</w:t>
            </w:r>
          </w:p>
        </w:tc>
        <w:tc>
          <w:tcPr>
            <w:tcW w:type="dxa" w:w="2592"/>
          </w:tcPr>
          <w:p>
            <w:r>
              <w:rPr>
                <w:sz w:val="16"/>
              </w:rPr>
              <w:t>IT Risk</w:t>
            </w:r>
          </w:p>
        </w:tc>
        <w:tc>
          <w:tcPr>
            <w:tcW w:type="dxa" w:w="2160"/>
          </w:tcPr>
          <w:p>
            <w:r>
              <w:rPr>
                <w:sz w:val="16"/>
              </w:rPr>
              <w:t>15-Apr-2026</w:t>
            </w:r>
          </w:p>
        </w:tc>
        <w:tc>
          <w:tcPr>
            <w:tcW w:type="dxa" w:w="2160"/>
          </w:tcPr>
          <w:p>
            <w:r>
              <w:rPr>
                <w:sz w:val="16"/>
              </w:rPr>
              <w:t>Pending</w:t>
            </w:r>
          </w:p>
        </w:tc>
      </w:tr>
      <w:tr>
        <w:tc>
          <w:tcPr>
            <w:tcW w:type="dxa" w:w="720"/>
          </w:tcPr>
          <w:p>
            <w:r>
              <w:rPr>
                <w:sz w:val="16"/>
              </w:rPr>
              <w:t>CA-05</w:t>
            </w:r>
          </w:p>
        </w:tc>
        <w:tc>
          <w:tcPr>
            <w:tcW w:type="dxa" w:w="4320"/>
          </w:tcPr>
          <w:p>
            <w:r>
              <w:rPr>
                <w:sz w:val="16"/>
              </w:rPr>
              <w:t>Full post-incident report submission to BNM</w:t>
            </w:r>
          </w:p>
        </w:tc>
        <w:tc>
          <w:tcPr>
            <w:tcW w:type="dxa" w:w="2592"/>
          </w:tcPr>
          <w:p>
            <w:r>
              <w:rPr>
                <w:sz w:val="16"/>
              </w:rPr>
              <w:t>Compliance</w:t>
            </w:r>
          </w:p>
        </w:tc>
        <w:tc>
          <w:tcPr>
            <w:tcW w:type="dxa" w:w="2160"/>
          </w:tcPr>
          <w:p>
            <w:r>
              <w:rPr>
                <w:sz w:val="16"/>
              </w:rPr>
              <w:t>31-Mar-2026</w:t>
            </w:r>
          </w:p>
        </w:tc>
        <w:tc>
          <w:tcPr>
            <w:tcW w:type="dxa" w:w="2160"/>
          </w:tcPr>
          <w:p>
            <w:r>
              <w:rPr>
                <w:sz w:val="16"/>
              </w:rPr>
              <w:t>Completed</w:t>
            </w:r>
          </w:p>
        </w:tc>
      </w:tr>
    </w:tbl>
    <w:p>
      <w:pPr>
        <w:pStyle w:val="Heading2"/>
        <w:spacing w:before="120" w:after="80"/>
      </w:pPr>
      <w:r>
        <w:t>7. LESSONS LEARNED</w:t>
      </w:r>
    </w:p>
    <w:p>
      <w:pPr>
        <w:spacing w:after="100"/>
      </w:pPr>
      <w:r>
        <w:t>This incident highlights the need for stronger pre-deployment validation processes, particularly for network-layer changes that interact with application health monitoring. The rapid response and restoration time of 3h22m demonstrates the effectiveness of our incident bridge process, but earlier automated detection would have reduced customer impact significantly.</w:t>
      </w:r>
    </w:p>
    <w:sectPr w:rsidR="00FC693F" w:rsidRPr="0006063C" w:rsidSect="0003461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