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200" w:after="80"/>
      </w:pPr>
      <w:r>
        <w:t>CAMPAIGN BRIEF — WEALTH GOALS 2026</w:t>
      </w:r>
    </w:p>
    <w:p>
      <w:pPr>
        <w:spacing w:after="100"/>
      </w:pPr>
      <w:r>
        <w:t>Contoso Investment Bank Berhad | Wealth Management &amp; Retail Banking</w:t>
      </w:r>
    </w:p>
    <w:p>
      <w:pPr>
        <w:spacing w:after="100"/>
      </w:pPr>
      <w:r>
        <w:t>Brief Ref: MKT-2026-WG-001 | Date: 3 February 2026</w:t>
      </w:r>
    </w:p>
    <w:p>
      <w:pPr>
        <w:spacing w:after="100"/>
      </w:pPr>
      <w:r>
        <w:t>Prepared By: Mei Ling Yap, VP Marketing | Approved By: CMO</w:t>
      </w:r>
    </w:p>
    <w:p>
      <w:pPr>
        <w:spacing w:after="60" w:before="60"/>
        <w:pBdr>
          <w:bottom w:val="single" w:sz="4" w:space="1" w:color="CCCCCC"/>
        </w:pBdr>
      </w:pPr>
    </w:p>
    <w:p>
      <w:pPr>
        <w:pStyle w:val="Heading2"/>
        <w:spacing w:before="120" w:after="80"/>
      </w:pPr>
      <w:r>
        <w:t>1. CAMPAIGN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Parameter</w:t>
            </w:r>
          </w:p>
        </w:tc>
        <w:tc>
          <w:tcPr>
            <w:tcW w:type="dxa" w:w="576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Detail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Campaign Name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Wealth Goals 2026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Campaign Period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1 March 2026 — 31 May 2026 (13 weeks)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Target Segment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Mass Affluent (investable assets RM 250K–RM 2M); CIBB Priority Banking clients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Primary Objective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Increase Wealth AUM by RM 800 million in Q1/Q2 2026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Secondary Objective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Activate 2,500 new Priority Banking customers; cross-sell 1 additional product per active customer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Budget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RM 4.2 million (Digital 50%, OOH 20%, Branch 15%, Events 15%)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KPIs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AUM growth +RM 800M | New Priority customers: 2,500 | Lead gen: 12,000 qualified leads | ROAS: 4.8x</w:t>
            </w:r>
          </w:p>
        </w:tc>
      </w:tr>
    </w:tbl>
    <w:p>
      <w:pPr>
        <w:pStyle w:val="Heading2"/>
        <w:spacing w:before="120" w:after="80"/>
      </w:pPr>
      <w:r>
        <w:t>2. KEY MESSAGES</w:t>
      </w:r>
    </w:p>
    <w:p>
      <w:pPr>
        <w:pStyle w:val="ListBullet"/>
      </w:pPr>
      <w:r>
        <w:t>'Your financial goals deserve a partner who understands Malaysia.' — headline</w:t>
      </w:r>
    </w:p>
    <w:p>
      <w:pPr>
        <w:pStyle w:val="ListBullet"/>
      </w:pPr>
      <w:r>
        <w:t>Feature CIBB's award-winning Wealth Management team (Best Private Bank Malaysia 2025 — The Asset)</w:t>
      </w:r>
    </w:p>
    <w:p>
      <w:pPr>
        <w:pStyle w:val="ListBullet"/>
      </w:pPr>
      <w:r>
        <w:t>Promote bundled Wealth Goals Package: Fixed Deposit + Unit Trust + Takaful + Priority Card</w:t>
      </w:r>
    </w:p>
    <w:p>
      <w:pPr>
        <w:pStyle w:val="ListBullet"/>
      </w:pPr>
      <w:r>
        <w:t>Highlight digital convenience: Wealth Goals tracker in CIBB Mobile App (new feature launch Feb 2026)</w:t>
      </w:r>
    </w:p>
    <w:p>
      <w:pPr>
        <w:pStyle w:val="ListBullet"/>
      </w:pPr>
      <w:r>
        <w:t>Inclusion of Shariah-compliant options prominently — Wealth Goals-i package</w:t>
      </w:r>
    </w:p>
    <w:p>
      <w:pPr>
        <w:pStyle w:val="Heading2"/>
        <w:spacing w:before="120" w:after="80"/>
      </w:pPr>
      <w:r>
        <w:t>3. CHANNEL STRATEGY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Channel</w:t>
            </w:r>
          </w:p>
        </w:tc>
        <w:tc>
          <w:tcPr>
            <w:tcW w:type="dxa" w:w="216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Budget (RM)</w:t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Tactic</w:t>
            </w:r>
          </w:p>
        </w:tc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Target Metric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Digital — Social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820,000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LinkedIn, Meta, TikTok ads; retargeting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CPL &lt; RM 68; 8,000 leads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Digital — SEM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620,000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Google Search + Display; branded &amp; generic terms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CPL &lt; RM 75; 2,500 leads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Digital — Email/SMS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180,000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CRM segmented campaigns to 280,000 prospects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Open rate &gt;22%; CTR &gt;4%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Out-of-Home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840,000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MRT Rapid KL wrap, KLIA digital screens, highway billboards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Impressions 12M+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Branch Activation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630,000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POS materials, banker talking points, branch events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8 flagship branch events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Events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1,110,000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Wealth Goals Showcase (KL, Penang, JB); exclusive client dinners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400 HNW attendees</w:t>
            </w:r>
          </w:p>
        </w:tc>
      </w:tr>
    </w:tbl>
    <w:p>
      <w:pPr>
        <w:pStyle w:val="Heading2"/>
        <w:spacing w:before="120" w:after="80"/>
      </w:pPr>
      <w:r>
        <w:t>4. PRODUCT HIGHLIGHTS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Product</w:t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Promotional Rate / Offer</w:t>
            </w:r>
          </w:p>
        </w:tc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Eligibility</w:t>
            </w:r>
          </w:p>
        </w:tc>
      </w:tr>
      <w:tr>
        <w:tc>
          <w:tcPr>
            <w:tcW w:type="dxa" w:w="4320"/>
          </w:tcPr>
          <w:p>
            <w:r>
              <w:rPr>
                <w:sz w:val="16"/>
              </w:rPr>
              <w:t>Contoso GOAL Fixed Deposit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4.25% p.a. (12 months, min RM 50,000)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New &amp; existing CIBB customers</w:t>
            </w:r>
          </w:p>
        </w:tc>
      </w:tr>
      <w:tr>
        <w:tc>
          <w:tcPr>
            <w:tcW w:type="dxa" w:w="4320"/>
          </w:tcPr>
          <w:p>
            <w:r>
              <w:rPr>
                <w:sz w:val="16"/>
              </w:rPr>
              <w:t>CIBB Wealth Unit Trust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0% sales charge (March–May 2026 promo)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Minimum RM 10,000 new investment</w:t>
            </w:r>
          </w:p>
        </w:tc>
      </w:tr>
      <w:tr>
        <w:tc>
          <w:tcPr>
            <w:tcW w:type="dxa" w:w="4320"/>
          </w:tcPr>
          <w:p>
            <w:r>
              <w:rPr>
                <w:sz w:val="16"/>
              </w:rPr>
              <w:t>Contoso Takaful Wealth Protector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First year premium rebate 15%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New policies incepted during campaign</w:t>
            </w:r>
          </w:p>
        </w:tc>
      </w:tr>
      <w:tr>
        <w:tc>
          <w:tcPr>
            <w:tcW w:type="dxa" w:w="4320"/>
          </w:tcPr>
          <w:p>
            <w:r>
              <w:rPr>
                <w:sz w:val="16"/>
              </w:rPr>
              <w:t>Wealth Goals-i (Islamic)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Profit rate equivalent 4.10% p.a.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Shariah-compliant investors</w:t>
            </w:r>
          </w:p>
        </w:tc>
      </w:tr>
      <w:tr>
        <w:tc>
          <w:tcPr>
            <w:tcW w:type="dxa" w:w="4320"/>
          </w:tcPr>
          <w:p>
            <w:r>
              <w:rPr>
                <w:sz w:val="16"/>
              </w:rPr>
              <w:t>Priority Banking Upgrade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Waived annual fee year 1 (save RM 800)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New Priority Banking activation</w:t>
            </w:r>
          </w:p>
        </w:tc>
      </w:tr>
    </w:tbl>
    <w:p>
      <w:pPr>
        <w:pStyle w:val="Heading2"/>
        <w:spacing w:before="120" w:after="80"/>
      </w:pPr>
      <w:r>
        <w:t>5. GOVERNANCE &amp; COMPLIANCE</w:t>
      </w:r>
    </w:p>
    <w:p>
      <w:pPr>
        <w:spacing w:after="100"/>
      </w:pPr>
      <w:r>
        <w:t>All campaign materials must be reviewed and approved by Compliance &amp; Legal before publication. Key requirements: SC CMS Act advertising guidelines, BNM Fair Dealing Principles (FDP) compliance, PDPA consent for all digital lead capture, and Shariah Committee endorsement for Wealth Goals-i product materials.</w:t>
      </w:r>
    </w:p>
    <w:p>
      <w:pPr>
        <w:pStyle w:val="Heading2"/>
        <w:spacing w:before="120" w:after="80"/>
      </w:pPr>
      <w:r>
        <w:t>6.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Milestone</w:t>
            </w:r>
          </w:p>
        </w:tc>
        <w:tc>
          <w:tcPr>
            <w:tcW w:type="dxa" w:w="2592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Date</w:t>
            </w:r>
          </w:p>
        </w:tc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Owner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Campaign brief approved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3-Feb-2026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CMO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Creative concepts signed off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17-Feb-2026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Mei Ling Yap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Compliance &amp; Legal clearance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24-Feb-2026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Compliance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Digital assets finalised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26-Feb-2026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Agency — Pixel &amp; Co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Campaign LIVE — all channels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1-Mar-2026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Marketing Ops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Mid-campaign performance review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1-Apr-2026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Mei Ling Yap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Campaign wrap &amp; post-analysis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15-Jun-2026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Mei Ling Yap</w:t>
            </w:r>
          </w:p>
        </w:tc>
      </w:tr>
    </w:tbl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