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E3A5F"/>
          <w:sz w:val="40"/>
        </w:rPr>
        <w:t>MASTER MANAGED SERVICES AGREEMENT</w:t>
      </w:r>
    </w:p>
    <w:p>
      <w:r>
        <w:rPr>
          <w:b w:val="0"/>
          <w:i w:val="0"/>
          <w:sz w:val="21"/>
        </w:rPr>
        <w:t>between</w:t>
      </w:r>
    </w:p>
    <w:p>
      <w:r>
        <w:rPr>
          <w:b/>
          <w:i w:val="0"/>
          <w:sz w:val="21"/>
        </w:rPr>
        <w:t>RIVANTA GENERAL INSURANCE BERHAD (Company No. 199301008221) ("the Customer")</w:t>
      </w:r>
    </w:p>
    <w:p>
      <w:r>
        <w:rPr>
          <w:b w:val="0"/>
          <w:i w:val="0"/>
          <w:sz w:val="21"/>
        </w:rPr>
        <w:t>and</w:t>
      </w:r>
    </w:p>
    <w:p>
      <w:r>
        <w:rPr>
          <w:b/>
          <w:i w:val="0"/>
          <w:sz w:val="21"/>
        </w:rPr>
        <w:t>SKYLANE CLOUD SOLUTIONS SDN BHD (Company No. 201801033451) ("the Service Provider")</w:t>
      </w:r>
    </w:p>
    <w:p>
      <w:r>
        <w:rPr>
          <w:b w:val="0"/>
          <w:i w:val="0"/>
          <w:sz w:val="21"/>
        </w:rPr>
        <w:t>Effective Date: 1 January 2024</w:t>
      </w:r>
    </w:p>
    <w:p>
      <w:r>
        <w:rPr>
          <w:b w:val="0"/>
          <w:i w:val="0"/>
          <w:sz w:val="21"/>
        </w:rPr>
        <w:t>Initial Term: Three (3) Years</w:t>
      </w:r>
    </w:p>
    <w:p>
      <w:r>
        <w:rPr>
          <w:b w:val="0"/>
          <w:i w:val="0"/>
          <w:sz w:val="21"/>
        </w:rPr>
        <w:t>Total Contract Value: RM 12,800,000 (over Initial Term, exclusive of pass-through fees)</w:t>
      </w:r>
    </w:p>
    <w:p>
      <w:r>
        <w:rPr>
          <w:b w:val="0"/>
          <w:i w:val="0"/>
          <w:sz w:val="21"/>
        </w:rPr>
        <w:t>Annual Service Charges: RM 4,266,000</w:t>
      </w:r>
    </w:p>
    <w:p>
      <w:r>
        <w:rPr>
          <w:b w:val="0"/>
          <w:i w:val="0"/>
          <w:sz w:val="21"/>
        </w:rPr>
        <w:t>Document Reference: Rivanta-MS-2024-0017</w:t>
      </w:r>
    </w:p>
    <w:p/>
    <w:p>
      <w:r>
        <w:rPr>
          <w:b/>
          <w:color w:val="1E3A5F"/>
          <w:sz w:val="28"/>
        </w:rPr>
        <w:t>Recitals</w:t>
      </w:r>
    </w:p>
    <w:p>
      <w:r>
        <w:rPr>
          <w:b w:val="0"/>
          <w:i w:val="0"/>
          <w:sz w:val="21"/>
        </w:rPr>
        <w:t>WHEREAS the Customer wishes to engage the Service Provider for the design, implementation, hosting and ongoing managed support of cloud infrastructure, core insurance platform integration services, claims data services and 24x7 operational support, including patch management, monitoring, incident response and back-up services for the Customer's policy administration and claims environments;</w:t>
      </w:r>
    </w:p>
    <w:p>
      <w:r>
        <w:rPr>
          <w:b w:val="0"/>
          <w:i w:val="0"/>
          <w:sz w:val="21"/>
        </w:rPr>
        <w:t>AND WHEREAS the Service Provider has represented that it possesses the requisite skills, certifications and resources to deliver the Services in accordance with applicable Bank Negara Malaysia ("BNM") policy documents, including the Risk Management in Technology ("RMiT") policy and Outsourcing for Insurers and Takaful Operators policy, and Personal Data Protection Act 2010 ("PDPA") obligations;</w:t>
      </w:r>
    </w:p>
    <w:p>
      <w:r>
        <w:rPr>
          <w:b w:val="0"/>
          <w:i w:val="0"/>
          <w:sz w:val="21"/>
        </w:rPr>
        <w:t>NOW THEREFORE the parties agree as follows.</w:t>
      </w:r>
    </w:p>
    <w:p/>
    <w:p>
      <w:r>
        <w:rPr>
          <w:b/>
          <w:color w:val="1E3A5F"/>
          <w:sz w:val="28"/>
        </w:rPr>
        <w:t>1. Definitions</w:t>
      </w:r>
    </w:p>
    <w:p>
      <w:r>
        <w:rPr>
          <w:b w:val="0"/>
          <w:i w:val="0"/>
          <w:sz w:val="21"/>
        </w:rPr>
        <w:t>1.1  "Services" means the cloud infrastructure, hosted application support, managed services, professional services and any other services described in Schedule 1 (Statement of Work).</w:t>
      </w:r>
    </w:p>
    <w:p>
      <w:r>
        <w:rPr>
          <w:b w:val="0"/>
          <w:i w:val="0"/>
          <w:sz w:val="21"/>
        </w:rPr>
        <w:t>1.2  "Service Levels" means the targets set out in Schedule 2.</w:t>
      </w:r>
    </w:p>
    <w:p>
      <w:r>
        <w:rPr>
          <w:b w:val="0"/>
          <w:i w:val="0"/>
          <w:sz w:val="21"/>
        </w:rPr>
        <w:t>1.3  "Customer Data" means all data inputted by or on behalf of the Customer into the Service Provider environment, including all derived data and analytic outputs.</w:t>
      </w:r>
    </w:p>
    <w:p>
      <w:r>
        <w:rPr>
          <w:b w:val="0"/>
          <w:i w:val="0"/>
          <w:sz w:val="21"/>
        </w:rPr>
        <w:t>1.4  "Confidential Information" means any information designated as confidential or that ought reasonably to be considered confidential.</w:t>
      </w:r>
    </w:p>
    <w:p/>
    <w:p>
      <w:r>
        <w:rPr>
          <w:b/>
          <w:color w:val="1E3A5F"/>
          <w:sz w:val="28"/>
        </w:rPr>
        <w:t>2. Services &amp; Service Levels</w:t>
      </w:r>
    </w:p>
    <w:p>
      <w:r>
        <w:rPr>
          <w:b w:val="0"/>
          <w:i w:val="0"/>
          <w:sz w:val="21"/>
        </w:rPr>
        <w:t>2.1  The Service Provider shall deliver the Services described in Schedule 1, subject to the Service Levels in Schedule 2.</w:t>
      </w:r>
    </w:p>
    <w:p>
      <w:r>
        <w:rPr>
          <w:b w:val="0"/>
          <w:i w:val="0"/>
          <w:sz w:val="21"/>
        </w:rPr>
        <w:t>2.2  Service Credits for missed Service Levels are capped at five percent (5%) of the monthly charge for the relevant Service in any given month, and shall be the Customer's sole and exclusive remedy for performance failures other than those constituting a material breach.</w:t>
      </w:r>
    </w:p>
    <w:p/>
    <w:p>
      <w:r>
        <w:rPr>
          <w:b/>
          <w:color w:val="1E3A5F"/>
          <w:sz w:val="28"/>
        </w:rPr>
        <w:t>3. Term &amp; Renewal</w:t>
      </w:r>
    </w:p>
    <w:p>
      <w:r>
        <w:rPr>
          <w:b w:val="0"/>
          <w:i w:val="0"/>
          <w:sz w:val="21"/>
        </w:rPr>
        <w:t>3.1  This Agreement commences on the Effective Date and continues for an initial period of three (3) years (the "Initial Term").</w:t>
      </w:r>
    </w:p>
    <w:p>
      <w:r>
        <w:rPr>
          <w:b/>
          <w:color w:val="1E3A5F"/>
          <w:sz w:val="23"/>
        </w:rPr>
        <w:t>3.2  Automatic Renewal</w:t>
      </w:r>
    </w:p>
    <w:p>
      <w:r>
        <w:rPr>
          <w:b/>
          <w:i w:val="0"/>
          <w:sz w:val="21"/>
        </w:rPr>
        <w:t>Following the Initial Term, this Agreement shall automatically renew for successive renewal periods of two (2) years each, unless either party provides written notice of non-renewal not less than thirty (30) days prior to the expiry of the then-current term. Where notice is not received within this period, the Customer shall be deemed to have committed to the next renewal period in full.</w:t>
      </w:r>
    </w:p>
    <w:p>
      <w:r>
        <w:rPr>
          <w:b/>
          <w:i w:val="0"/>
          <w:sz w:val="21"/>
        </w:rPr>
        <w:t>3.3  All charges in the renewal term shall be subject to an annual indexation of five percent (5%) compounded, irrespective of changes in the underlying scope of the Services.</w:t>
      </w:r>
    </w:p>
    <w:p/>
    <w:p>
      <w:r>
        <w:rPr>
          <w:b/>
          <w:color w:val="1E3A5F"/>
          <w:sz w:val="28"/>
        </w:rPr>
        <w:t>4. Charges &amp; Pricing</w:t>
      </w:r>
    </w:p>
    <w:p>
      <w:r>
        <w:rPr>
          <w:b w:val="0"/>
          <w:i w:val="0"/>
          <w:sz w:val="21"/>
        </w:rPr>
        <w:t>4.1  The Customer shall pay the charges set out in Schedule 3.</w:t>
      </w:r>
    </w:p>
    <w:p>
      <w:r>
        <w:rPr>
          <w:b w:val="0"/>
          <w:i w:val="0"/>
          <w:sz w:val="21"/>
        </w:rPr>
        <w:t>4.2  Annual Service Charges of RM 4,266,000 shall be invoiced monthly in advance.</w:t>
      </w:r>
    </w:p>
    <w:p>
      <w:r>
        <w:rPr>
          <w:b/>
          <w:color w:val="1E3A5F"/>
          <w:sz w:val="23"/>
        </w:rPr>
        <w:t>4.3  Cloud Pass-through Charges &amp; Mark-up</w:t>
      </w:r>
    </w:p>
    <w:p>
      <w:r>
        <w:rPr>
          <w:b/>
          <w:i w:val="0"/>
          <w:sz w:val="21"/>
        </w:rPr>
        <w:t>Underlying cloud infrastructure consumption charges shall be passed through to the Customer at the Service Provider's invoiced cost plus an administration mark-up of fifteen percent (15%). "Cost" shall mean the rate determined by the Service Provider in its reasonable discretion, and the Customer shall not be entitled to audit, request copies of underlying supplier invoices, or otherwise verify the calculation of such charges.</w:t>
      </w:r>
    </w:p>
    <w:p>
      <w:r>
        <w:rPr>
          <w:b w:val="0"/>
          <w:i w:val="0"/>
          <w:sz w:val="21"/>
        </w:rPr>
        <w:t>4.4  Foreign exchange variation on USD-denominated cloud charges is borne in full by the Customer with no hedging obligation on the Service Provider.</w:t>
      </w:r>
    </w:p>
    <w:p/>
    <w:p>
      <w:r>
        <w:rPr>
          <w:b/>
          <w:color w:val="1E3A5F"/>
          <w:sz w:val="28"/>
        </w:rPr>
        <w:t>5. Customer Data, Records &amp; Information Security</w:t>
      </w:r>
    </w:p>
    <w:p>
      <w:r>
        <w:rPr>
          <w:b w:val="0"/>
          <w:i w:val="0"/>
          <w:sz w:val="21"/>
        </w:rPr>
        <w:t>5.1  The Service Provider shall implement industry-standard information security controls, including ISO 27001-aligned controls and the controls required to support the Customer's BNM RMiT obligations.</w:t>
      </w:r>
    </w:p>
    <w:p>
      <w:r>
        <w:rPr>
          <w:b/>
          <w:color w:val="1E3A5F"/>
          <w:sz w:val="23"/>
        </w:rPr>
        <w:t>5.2  Ownership and Use of Aggregated Data</w:t>
      </w:r>
    </w:p>
    <w:p>
      <w:r>
        <w:rPr>
          <w:b/>
          <w:i w:val="0"/>
          <w:sz w:val="21"/>
        </w:rPr>
        <w:t>All de-identified, aggregated and statistical data derived from the processing of Customer Data within the Service Provider environment, including but not limited to claims frequency curves, underwriting patterns and risk-rating insights, shall vest in the Service Provider and may be reused, licensed or commercialised by the Service Provider or its affiliates for any purpose, without further consent or payment to the Customer.</w:t>
      </w:r>
    </w:p>
    <w:p>
      <w:r>
        <w:rPr>
          <w:b/>
          <w:i w:val="0"/>
          <w:sz w:val="21"/>
        </w:rPr>
        <w:t>5.3  Upon termination, raw Customer Data shall be returned within sixty (60) days in a mutually agreed format. Derived datasets contemplated in Clause 5.2 shall not be returned.</w:t>
      </w:r>
    </w:p>
    <w:p/>
    <w:p>
      <w:r>
        <w:rPr>
          <w:b/>
          <w:color w:val="1E3A5F"/>
          <w:sz w:val="28"/>
        </w:rPr>
        <w:t>6. Regulatory Cooperation</w:t>
      </w:r>
    </w:p>
    <w:p>
      <w:r>
        <w:rPr>
          <w:b w:val="0"/>
          <w:i w:val="0"/>
          <w:sz w:val="21"/>
        </w:rPr>
        <w:t>6.1  The Service Provider acknowledges that the Customer is regulated by Bank Negara Malaysia and is subject to the RMiT and Outsourcing policy documents.</w:t>
      </w:r>
    </w:p>
    <w:p>
      <w:r>
        <w:rPr>
          <w:b/>
          <w:color w:val="1E3A5F"/>
          <w:sz w:val="23"/>
        </w:rPr>
        <w:t>6.2  Regulator and Customer Audit Rights</w:t>
      </w:r>
    </w:p>
    <w:p>
      <w:r>
        <w:rPr>
          <w:b/>
          <w:i w:val="0"/>
          <w:sz w:val="21"/>
        </w:rPr>
        <w:t>The Customer and BNM shall be entitled to audit the Service Provider's premises, systems and records relating to the Services, subject to: (a) thirty (30) business days' prior written notice; (b) audits being conducted not more than once in any twenty-four (24) month period; (c) all reasonable costs of the audit, including Service Provider personnel costs at standard rates, being borne by the Customer; and (d) the scope of the audit being limited to those records the Service Provider agrees in writing are within scope.</w:t>
      </w:r>
    </w:p>
    <w:p/>
    <w:p>
      <w:r>
        <w:rPr>
          <w:b/>
          <w:color w:val="1E3A5F"/>
          <w:sz w:val="28"/>
        </w:rPr>
        <w:t>7. Sub-contracting</w:t>
      </w:r>
    </w:p>
    <w:p>
      <w:r>
        <w:rPr>
          <w:b w:val="0"/>
          <w:i w:val="0"/>
          <w:sz w:val="21"/>
        </w:rPr>
        <w:t>7.1  The Service Provider may sub-contract any part of the Services without the Customer's prior consent, provided that the Service Provider remains primarily liable for the performance of any sub-contractor.</w:t>
      </w:r>
    </w:p>
    <w:p/>
    <w:p>
      <w:r>
        <w:rPr>
          <w:b/>
          <w:color w:val="1E3A5F"/>
          <w:sz w:val="28"/>
        </w:rPr>
        <w:t>8. Liability</w:t>
      </w:r>
    </w:p>
    <w:p>
      <w:r>
        <w:rPr>
          <w:b/>
          <w:color w:val="1E3A5F"/>
          <w:sz w:val="23"/>
        </w:rPr>
        <w:t>8.1  Limitation of Liability</w:t>
      </w:r>
    </w:p>
    <w:p>
      <w:r>
        <w:rPr>
          <w:b/>
          <w:i w:val="0"/>
          <w:sz w:val="21"/>
        </w:rPr>
        <w:t>Notwithstanding any other provision of this Agreement, the aggregate liability of the Service Provider in respect of all claims arising out of or in connection with this Agreement, whether in contract, tort (including negligence), breach of statutory duty or otherwise, shall not exceed an amount equal to the fees paid by the Customer to the Service Provider in the six (6) months immediately preceding the event giving rise to the claim. This cap shall apply to all losses including those arising from data loss, breach of confidentiality, breach of security, or breach of regulatory obligations.</w:t>
      </w:r>
    </w:p>
    <w:p>
      <w:r>
        <w:rPr>
          <w:b w:val="0"/>
          <w:i w:val="0"/>
          <w:sz w:val="21"/>
        </w:rPr>
        <w:t>8.2  In no event shall the Service Provider be liable for indirect, consequential, special or punitive damages, including loss of profits, loss of business, loss of goodwill or regulatory fines.</w:t>
      </w:r>
    </w:p>
    <w:p/>
    <w:p>
      <w:r>
        <w:rPr>
          <w:b/>
          <w:color w:val="1E3A5F"/>
          <w:sz w:val="28"/>
        </w:rPr>
        <w:t>9. Cyber Incident Notification</w:t>
      </w:r>
    </w:p>
    <w:p>
      <w:r>
        <w:rPr>
          <w:b w:val="0"/>
          <w:i w:val="0"/>
          <w:sz w:val="21"/>
        </w:rPr>
        <w:t>9.1  In the event of a Cyber Incident affecting Customer Data, the Service Provider shall notify the Customer no later than seventy-two (72) hours after detection.</w:t>
      </w:r>
    </w:p>
    <w:p>
      <w:r>
        <w:rPr>
          <w:b w:val="0"/>
          <w:i w:val="0"/>
          <w:sz w:val="21"/>
        </w:rPr>
        <w:t>9.2  The Service Provider shall provide reasonable cooperation in the Customer's BNM and PDPA notification processes, save that the costs of any external forensic investigation shall be borne by the Customer where the root cause is not established to be the Service Provider's gross negligence.</w:t>
      </w:r>
    </w:p>
    <w:p/>
    <w:p>
      <w:r>
        <w:rPr>
          <w:b/>
          <w:color w:val="1E3A5F"/>
          <w:sz w:val="28"/>
        </w:rPr>
        <w:t>10. Termination</w:t>
      </w:r>
    </w:p>
    <w:p>
      <w:r>
        <w:rPr>
          <w:b w:val="0"/>
          <w:i w:val="0"/>
          <w:sz w:val="21"/>
        </w:rPr>
        <w:t>10.1  Either party may terminate this Agreement for material breach not remedied within thirty (30) days of written notice.</w:t>
      </w:r>
    </w:p>
    <w:p>
      <w:r>
        <w:rPr>
          <w:b w:val="0"/>
          <w:i w:val="0"/>
          <w:sz w:val="21"/>
        </w:rPr>
        <w:t>10.2  Termination for convenience by the Customer prior to expiry of the Initial Term shall trigger an early termination charge equal to nine (9) months of Annual Service Charges.</w:t>
      </w:r>
    </w:p>
    <w:p/>
    <w:p>
      <w:r>
        <w:rPr>
          <w:b/>
          <w:color w:val="1E3A5F"/>
          <w:sz w:val="28"/>
        </w:rPr>
        <w:t>11. Governing Law &amp; Disputes</w:t>
      </w:r>
    </w:p>
    <w:p>
      <w:r>
        <w:rPr>
          <w:b w:val="0"/>
          <w:i w:val="0"/>
          <w:sz w:val="21"/>
        </w:rPr>
        <w:t>11.1  This Agreement is governed by the laws of Malaysia.</w:t>
      </w:r>
    </w:p>
    <w:p>
      <w:r>
        <w:rPr>
          <w:b w:val="0"/>
          <w:i w:val="0"/>
          <w:sz w:val="21"/>
        </w:rPr>
        <w:t>11.2  Disputes shall be referred to arbitration in Kuala Lumpur under the AIAC Rules.</w:t>
      </w:r>
    </w:p>
    <w:p/>
    <w:p>
      <w:r>
        <w:rPr>
          <w:b/>
          <w:color w:val="1E3A5F"/>
          <w:sz w:val="28"/>
        </w:rPr>
        <w:t>Schedule 1 — Summary Statement of Work</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E3A5F"/>
          </w:tcPr>
          <w:p>
            <w:r>
              <w:rPr>
                <w:b/>
                <w:color w:val="FFFFFF"/>
              </w:rPr>
              <w:t>Workstream</w:t>
            </w:r>
          </w:p>
        </w:tc>
        <w:tc>
          <w:tcPr>
            <w:tcW w:type="dxa" w:w="2880"/>
            <w:shd w:val="clear" w:color="auto" w:fill="1E3A5F"/>
          </w:tcPr>
          <w:p>
            <w:r>
              <w:rPr>
                <w:b/>
                <w:color w:val="FFFFFF"/>
              </w:rPr>
              <w:t>Description</w:t>
            </w:r>
          </w:p>
        </w:tc>
        <w:tc>
          <w:tcPr>
            <w:tcW w:type="dxa" w:w="2880"/>
            <w:shd w:val="clear" w:color="auto" w:fill="1E3A5F"/>
          </w:tcPr>
          <w:p>
            <w:r>
              <w:rPr>
                <w:b/>
                <w:color w:val="FFFFFF"/>
              </w:rPr>
              <w:t>Annual Charge (RM)</w:t>
            </w:r>
          </w:p>
        </w:tc>
      </w:tr>
      <w:tr>
        <w:tc>
          <w:tcPr>
            <w:tcW w:type="dxa" w:w="2880"/>
          </w:tcPr>
          <w:p>
            <w:r>
              <w:t>Cloud hosting &amp; managed infrastructure</w:t>
            </w:r>
          </w:p>
        </w:tc>
        <w:tc>
          <w:tcPr>
            <w:tcW w:type="dxa" w:w="2880"/>
          </w:tcPr>
          <w:p>
            <w:r>
              <w:t>Production + DR hosting for policy admin and claims systems on AWS via Service Provider tenancy.</w:t>
            </w:r>
          </w:p>
        </w:tc>
        <w:tc>
          <w:tcPr>
            <w:tcW w:type="dxa" w:w="2880"/>
          </w:tcPr>
          <w:p>
            <w:r>
              <w:t>1,920,000</w:t>
            </w:r>
          </w:p>
        </w:tc>
      </w:tr>
      <w:tr>
        <w:tc>
          <w:tcPr>
            <w:tcW w:type="dxa" w:w="2880"/>
          </w:tcPr>
          <w:p>
            <w:r>
              <w:t>Application managed services</w:t>
            </w:r>
          </w:p>
        </w:tc>
        <w:tc>
          <w:tcPr>
            <w:tcW w:type="dxa" w:w="2880"/>
          </w:tcPr>
          <w:p>
            <w:r>
              <w:t>L2/L3 support for Core Insurance Platform integration, batch operations and incident response.</w:t>
            </w:r>
          </w:p>
        </w:tc>
        <w:tc>
          <w:tcPr>
            <w:tcW w:type="dxa" w:w="2880"/>
          </w:tcPr>
          <w:p>
            <w:r>
              <w:t>1,440,000</w:t>
            </w:r>
          </w:p>
        </w:tc>
      </w:tr>
      <w:tr>
        <w:tc>
          <w:tcPr>
            <w:tcW w:type="dxa" w:w="2880"/>
          </w:tcPr>
          <w:p>
            <w:r>
              <w:t>Cyber operations support</w:t>
            </w:r>
          </w:p>
        </w:tc>
        <w:tc>
          <w:tcPr>
            <w:tcW w:type="dxa" w:w="2880"/>
          </w:tcPr>
          <w:p>
            <w:r>
              <w:t>24x7 SOC monitoring, EDR management, monthly vulnerability scans, quarterly penetration tests.</w:t>
            </w:r>
          </w:p>
        </w:tc>
        <w:tc>
          <w:tcPr>
            <w:tcW w:type="dxa" w:w="2880"/>
          </w:tcPr>
          <w:p>
            <w:r>
              <w:t>486,000</w:t>
            </w:r>
          </w:p>
        </w:tc>
      </w:tr>
      <w:tr>
        <w:tc>
          <w:tcPr>
            <w:tcW w:type="dxa" w:w="2880"/>
          </w:tcPr>
          <w:p>
            <w:r>
              <w:t>Data services</w:t>
            </w:r>
          </w:p>
        </w:tc>
        <w:tc>
          <w:tcPr>
            <w:tcW w:type="dxa" w:w="2880"/>
          </w:tcPr>
          <w:p>
            <w:r>
              <w:t>ETL job operations, data warehouse refresh, regulatory reporting feeds.</w:t>
            </w:r>
          </w:p>
        </w:tc>
        <w:tc>
          <w:tcPr>
            <w:tcW w:type="dxa" w:w="2880"/>
          </w:tcPr>
          <w:p>
            <w:r>
              <w:t>300,000</w:t>
            </w:r>
          </w:p>
        </w:tc>
      </w:tr>
      <w:tr>
        <w:tc>
          <w:tcPr>
            <w:tcW w:type="dxa" w:w="2880"/>
          </w:tcPr>
          <w:p>
            <w:r>
              <w:t>Service management &amp; PMO</w:t>
            </w:r>
          </w:p>
        </w:tc>
        <w:tc>
          <w:tcPr>
            <w:tcW w:type="dxa" w:w="2880"/>
          </w:tcPr>
          <w:p>
            <w:r>
              <w:t>Single point of contact, governance reporting, change management.</w:t>
            </w:r>
          </w:p>
        </w:tc>
        <w:tc>
          <w:tcPr>
            <w:tcW w:type="dxa" w:w="2880"/>
          </w:tcPr>
          <w:p>
            <w:r>
              <w:t>120,000</w:t>
            </w:r>
          </w:p>
        </w:tc>
      </w:tr>
    </w:tbl>
    <w:p/>
    <w:p>
      <w:r>
        <w:rPr>
          <w:b w:val="0"/>
          <w:i/>
          <w:sz w:val="21"/>
        </w:rPr>
        <w:t>[End of Agreement Extract — for the purpose of the BTRC briefing this extract contains the clauses identified by the Group Tech Risk team as warranting re-negotiation prior to the next renewal review.]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