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1E3A5F"/>
          <w:sz w:val="40"/>
        </w:rPr>
        <w:t>Board Technology &amp; Risk Committee (BTRC)</w:t>
      </w:r>
    </w:p>
    <w:p>
      <w:r>
        <w:rPr>
          <w:b/>
          <w:i w:val="0"/>
          <w:sz w:val="21"/>
        </w:rPr>
        <w:t>Rivanta General Insurance Berhad</w:t>
      </w:r>
    </w:p>
    <w:p>
      <w:r>
        <w:rPr>
          <w:b w:val="0"/>
          <w:i w:val="0"/>
          <w:sz w:val="21"/>
        </w:rPr>
        <w:t>Meeting Reference: BTRC-2026-Q1-04</w:t>
      </w:r>
    </w:p>
    <w:p>
      <w:r>
        <w:rPr>
          <w:b w:val="0"/>
          <w:i w:val="0"/>
          <w:sz w:val="21"/>
        </w:rPr>
        <w:t>Date: Tuesday, 14 April 2026 | Time: 09:00 – 11:30</w:t>
      </w:r>
    </w:p>
    <w:p>
      <w:r>
        <w:rPr>
          <w:b w:val="0"/>
          <w:i w:val="0"/>
          <w:sz w:val="21"/>
        </w:rPr>
        <w:t>Venue: Boardroom, Level 38, Menara Rivanta, Kuala Lumpur (with hybrid Teams attendance)</w:t>
      </w:r>
    </w:p>
    <w:p>
      <w:r>
        <w:rPr>
          <w:b w:val="0"/>
          <w:i w:val="0"/>
          <w:sz w:val="21"/>
        </w:rPr>
        <w:t>Classification: Restricted — Board and Authorised Recipients Only</w:t>
      </w:r>
    </w:p>
    <w:p/>
    <w:p>
      <w:r>
        <w:rPr>
          <w:b/>
          <w:color w:val="1E3A5F"/>
          <w:sz w:val="28"/>
        </w:rPr>
        <w:t>Attendees</w:t>
      </w:r>
    </w:p>
    <w:tbl>
      <w:tblPr>
        <w:tblStyle w:val="LightGrid-Accent1"/>
        <w:tblW w:type="auto" w:w="0"/>
        <w:tblLook w:firstColumn="1" w:firstRow="1" w:lastColumn="0" w:lastRow="0" w:noHBand="0" w:noVBand="1" w:val="04A0"/>
      </w:tblPr>
      <w:tblGrid>
        <w:gridCol w:w="2880"/>
        <w:gridCol w:w="2880"/>
        <w:gridCol w:w="2880"/>
      </w:tblGrid>
      <w:tr>
        <w:tc>
          <w:tcPr>
            <w:tcW w:type="dxa" w:w="2880"/>
            <w:shd w:val="clear" w:color="auto" w:fill="1E3A5F"/>
          </w:tcPr>
          <w:p>
            <w:r>
              <w:rPr>
                <w:b/>
                <w:color w:val="FFFFFF"/>
              </w:rPr>
              <w:t>Name</w:t>
            </w:r>
          </w:p>
        </w:tc>
        <w:tc>
          <w:tcPr>
            <w:tcW w:type="dxa" w:w="2880"/>
            <w:shd w:val="clear" w:color="auto" w:fill="1E3A5F"/>
          </w:tcPr>
          <w:p>
            <w:r>
              <w:rPr>
                <w:b/>
                <w:color w:val="FFFFFF"/>
              </w:rPr>
              <w:t>Role</w:t>
            </w:r>
          </w:p>
        </w:tc>
        <w:tc>
          <w:tcPr>
            <w:tcW w:type="dxa" w:w="2880"/>
            <w:shd w:val="clear" w:color="auto" w:fill="1E3A5F"/>
          </w:tcPr>
          <w:p>
            <w:r>
              <w:rPr>
                <w:b/>
                <w:color w:val="FFFFFF"/>
              </w:rPr>
              <w:t>Attendance</w:t>
            </w:r>
          </w:p>
        </w:tc>
      </w:tr>
      <w:tr>
        <w:tc>
          <w:tcPr>
            <w:tcW w:type="dxa" w:w="2880"/>
          </w:tcPr>
          <w:p>
            <w:r>
              <w:t>Dato' Sri Lim Wei Ming</w:t>
            </w:r>
          </w:p>
        </w:tc>
        <w:tc>
          <w:tcPr>
            <w:tcW w:type="dxa" w:w="2880"/>
          </w:tcPr>
          <w:p>
            <w:r>
              <w:t>Independent Non-Executive Director (Committee Chair)</w:t>
            </w:r>
          </w:p>
        </w:tc>
        <w:tc>
          <w:tcPr>
            <w:tcW w:type="dxa" w:w="2880"/>
          </w:tcPr>
          <w:p>
            <w:r>
              <w:t>Present</w:t>
            </w:r>
          </w:p>
        </w:tc>
      </w:tr>
      <w:tr>
        <w:tc>
          <w:tcPr>
            <w:tcW w:type="dxa" w:w="2880"/>
          </w:tcPr>
          <w:p>
            <w:r>
              <w:t>Tan Sri Ahmad Razif</w:t>
            </w:r>
          </w:p>
        </w:tc>
        <w:tc>
          <w:tcPr>
            <w:tcW w:type="dxa" w:w="2880"/>
          </w:tcPr>
          <w:p>
            <w:r>
              <w:t>Independent Non-Executive Director</w:t>
            </w:r>
          </w:p>
        </w:tc>
        <w:tc>
          <w:tcPr>
            <w:tcW w:type="dxa" w:w="2880"/>
          </w:tcPr>
          <w:p>
            <w:r>
              <w:t>Present</w:t>
            </w:r>
          </w:p>
        </w:tc>
      </w:tr>
      <w:tr>
        <w:tc>
          <w:tcPr>
            <w:tcW w:type="dxa" w:w="2880"/>
          </w:tcPr>
          <w:p>
            <w:r>
              <w:t>Ms Yamamoto Hiroko</w:t>
            </w:r>
          </w:p>
        </w:tc>
        <w:tc>
          <w:tcPr>
            <w:tcW w:type="dxa" w:w="2880"/>
          </w:tcPr>
          <w:p>
            <w:r>
              <w:t>Non-Independent Director (Rivanta Holdings nominee)</w:t>
            </w:r>
          </w:p>
        </w:tc>
        <w:tc>
          <w:tcPr>
            <w:tcW w:type="dxa" w:w="2880"/>
          </w:tcPr>
          <w:p>
            <w:r>
              <w:t>Present (Teams)</w:t>
            </w:r>
          </w:p>
        </w:tc>
      </w:tr>
      <w:tr>
        <w:tc>
          <w:tcPr>
            <w:tcW w:type="dxa" w:w="2880"/>
          </w:tcPr>
          <w:p>
            <w:r>
              <w:t>Encik Faizal bin Abdullah</w:t>
            </w:r>
          </w:p>
        </w:tc>
        <w:tc>
          <w:tcPr>
            <w:tcW w:type="dxa" w:w="2880"/>
          </w:tcPr>
          <w:p>
            <w:r>
              <w:t>Group Chief Executive Officer</w:t>
            </w:r>
          </w:p>
        </w:tc>
        <w:tc>
          <w:tcPr>
            <w:tcW w:type="dxa" w:w="2880"/>
          </w:tcPr>
          <w:p>
            <w:r>
              <w:t>Present</w:t>
            </w:r>
          </w:p>
        </w:tc>
      </w:tr>
      <w:tr>
        <w:tc>
          <w:tcPr>
            <w:tcW w:type="dxa" w:w="2880"/>
          </w:tcPr>
          <w:p>
            <w:r>
              <w:t>Ms Aisha Tan</w:t>
            </w:r>
          </w:p>
        </w:tc>
        <w:tc>
          <w:tcPr>
            <w:tcW w:type="dxa" w:w="2880"/>
          </w:tcPr>
          <w:p>
            <w:r>
              <w:t>Group Chief Technology Officer</w:t>
            </w:r>
          </w:p>
        </w:tc>
        <w:tc>
          <w:tcPr>
            <w:tcW w:type="dxa" w:w="2880"/>
          </w:tcPr>
          <w:p>
            <w:r>
              <w:t>Present</w:t>
            </w:r>
          </w:p>
        </w:tc>
      </w:tr>
      <w:tr>
        <w:tc>
          <w:tcPr>
            <w:tcW w:type="dxa" w:w="2880"/>
          </w:tcPr>
          <w:p>
            <w:r>
              <w:t>Mr Vikram Subramaniam</w:t>
            </w:r>
          </w:p>
        </w:tc>
        <w:tc>
          <w:tcPr>
            <w:tcW w:type="dxa" w:w="2880"/>
          </w:tcPr>
          <w:p>
            <w:r>
              <w:t>Group Chief Information Security Officer</w:t>
            </w:r>
          </w:p>
        </w:tc>
        <w:tc>
          <w:tcPr>
            <w:tcW w:type="dxa" w:w="2880"/>
          </w:tcPr>
          <w:p>
            <w:r>
              <w:t>Present</w:t>
            </w:r>
          </w:p>
        </w:tc>
      </w:tr>
      <w:tr>
        <w:tc>
          <w:tcPr>
            <w:tcW w:type="dxa" w:w="2880"/>
          </w:tcPr>
          <w:p>
            <w:r>
              <w:t>Ms Sarah Khoo</w:t>
            </w:r>
          </w:p>
        </w:tc>
        <w:tc>
          <w:tcPr>
            <w:tcW w:type="dxa" w:w="2880"/>
          </w:tcPr>
          <w:p>
            <w:r>
              <w:t>Group Chief Financial Officer</w:t>
            </w:r>
          </w:p>
        </w:tc>
        <w:tc>
          <w:tcPr>
            <w:tcW w:type="dxa" w:w="2880"/>
          </w:tcPr>
          <w:p>
            <w:r>
              <w:t>Present</w:t>
            </w:r>
          </w:p>
        </w:tc>
      </w:tr>
      <w:tr>
        <w:tc>
          <w:tcPr>
            <w:tcW w:type="dxa" w:w="2880"/>
          </w:tcPr>
          <w:p>
            <w:r>
              <w:t>Encik Rizwan Hamid</w:t>
            </w:r>
          </w:p>
        </w:tc>
        <w:tc>
          <w:tcPr>
            <w:tcW w:type="dxa" w:w="2880"/>
          </w:tcPr>
          <w:p>
            <w:r>
              <w:t>Head of Group Tech Risk &amp; RMiT Compliance</w:t>
            </w:r>
          </w:p>
        </w:tc>
        <w:tc>
          <w:tcPr>
            <w:tcW w:type="dxa" w:w="2880"/>
          </w:tcPr>
          <w:p>
            <w:r>
              <w:t>Present</w:t>
            </w:r>
          </w:p>
        </w:tc>
      </w:tr>
      <w:tr>
        <w:tc>
          <w:tcPr>
            <w:tcW w:type="dxa" w:w="2880"/>
          </w:tcPr>
          <w:p>
            <w:r>
              <w:t>Ms Priya Devi</w:t>
            </w:r>
          </w:p>
        </w:tc>
        <w:tc>
          <w:tcPr>
            <w:tcW w:type="dxa" w:w="2880"/>
          </w:tcPr>
          <w:p>
            <w:r>
              <w:t>Head of Internal Audit</w:t>
            </w:r>
          </w:p>
        </w:tc>
        <w:tc>
          <w:tcPr>
            <w:tcW w:type="dxa" w:w="2880"/>
          </w:tcPr>
          <w:p>
            <w:r>
              <w:t>Present (observer)</w:t>
            </w:r>
          </w:p>
        </w:tc>
      </w:tr>
      <w:tr>
        <w:tc>
          <w:tcPr>
            <w:tcW w:type="dxa" w:w="2880"/>
          </w:tcPr>
          <w:p>
            <w:r>
              <w:t>Mr Daniel Chen</w:t>
            </w:r>
          </w:p>
        </w:tc>
        <w:tc>
          <w:tcPr>
            <w:tcW w:type="dxa" w:w="2880"/>
          </w:tcPr>
          <w:p>
            <w:r>
              <w:t>Company Secretary</w:t>
            </w:r>
          </w:p>
        </w:tc>
        <w:tc>
          <w:tcPr>
            <w:tcW w:type="dxa" w:w="2880"/>
          </w:tcPr>
          <w:p>
            <w:r>
              <w:t>Present (minutes)</w:t>
            </w:r>
          </w:p>
        </w:tc>
      </w:tr>
    </w:tbl>
    <w:p/>
    <w:p>
      <w:r>
        <w:rPr>
          <w:b/>
          <w:color w:val="1E3A5F"/>
          <w:sz w:val="28"/>
        </w:rPr>
        <w:t>Agenda</w:t>
      </w:r>
    </w:p>
    <w:p>
      <w:r>
        <w:rPr>
          <w:b w:val="0"/>
          <w:i w:val="0"/>
          <w:sz w:val="21"/>
        </w:rPr>
        <w:t>1.  Confirmation of previous minutes</w:t>
      </w:r>
    </w:p>
    <w:p>
      <w:r>
        <w:rPr>
          <w:b w:val="0"/>
          <w:i w:val="0"/>
          <w:sz w:val="21"/>
        </w:rPr>
        <w:t>2.  Q1 Tech Budget vs Actuals Review</w:t>
      </w:r>
    </w:p>
    <w:p>
      <w:r>
        <w:rPr>
          <w:b w:val="0"/>
          <w:i w:val="0"/>
          <w:sz w:val="21"/>
        </w:rPr>
        <w:t>3.  Cyber Posture &amp; Incident Update</w:t>
      </w:r>
    </w:p>
    <w:p>
      <w:r>
        <w:rPr>
          <w:b w:val="0"/>
          <w:i w:val="0"/>
          <w:sz w:val="21"/>
        </w:rPr>
        <w:t>4.  Skylane Cloud Solutions — Managed Services Renewal</w:t>
      </w:r>
    </w:p>
    <w:p>
      <w:r>
        <w:rPr>
          <w:b w:val="0"/>
          <w:i w:val="0"/>
          <w:sz w:val="21"/>
        </w:rPr>
        <w:t>5.  Core Insurance Platform Modernisation — Project Health Check</w:t>
      </w:r>
    </w:p>
    <w:p>
      <w:r>
        <w:rPr>
          <w:b w:val="0"/>
          <w:i w:val="0"/>
          <w:sz w:val="21"/>
        </w:rPr>
        <w:t>6.  RMiT Self-Assessment Update</w:t>
      </w:r>
    </w:p>
    <w:p>
      <w:r>
        <w:rPr>
          <w:b w:val="0"/>
          <w:i w:val="0"/>
          <w:sz w:val="21"/>
        </w:rPr>
        <w:t>7.  AI / Generative AI Policy Position</w:t>
      </w:r>
    </w:p>
    <w:p>
      <w:r>
        <w:rPr>
          <w:b w:val="0"/>
          <w:i w:val="0"/>
          <w:sz w:val="21"/>
        </w:rPr>
        <w:t>8.  Any Other Business</w:t>
      </w:r>
    </w:p>
    <w:p/>
    <w:p>
      <w:r>
        <w:rPr>
          <w:b/>
          <w:color w:val="1E3A5F"/>
          <w:sz w:val="28"/>
        </w:rPr>
        <w:t>1.  Confirmation of Previous Minutes</w:t>
      </w:r>
    </w:p>
    <w:p>
      <w:r>
        <w:rPr>
          <w:b w:val="0"/>
          <w:i w:val="0"/>
          <w:sz w:val="21"/>
        </w:rPr>
        <w:t>Chair (Dato' Sri Lim): Good morning, Committee. The minutes of the meeting on 13 January 2026 were circulated last week. May I take them as confirmed?</w:t>
      </w:r>
    </w:p>
    <w:p>
      <w:r>
        <w:rPr>
          <w:b w:val="0"/>
          <w:i w:val="0"/>
          <w:sz w:val="21"/>
        </w:rPr>
        <w:t>Encik Faizal (CEO): Confirmed.</w:t>
      </w:r>
    </w:p>
    <w:p>
      <w:r>
        <w:rPr>
          <w:b/>
          <w:i w:val="0"/>
          <w:sz w:val="21"/>
        </w:rPr>
        <w:t>Resolution BTRC-2026-Q1-01: The Committee confirmed the minutes of the previous meeting as a true and accurate record.</w:t>
      </w:r>
    </w:p>
    <w:p/>
    <w:p>
      <w:r>
        <w:rPr>
          <w:b/>
          <w:color w:val="1E3A5F"/>
          <w:sz w:val="28"/>
        </w:rPr>
        <w:t>2.  Q1 Tech Budget vs Actuals Review</w:t>
      </w:r>
    </w:p>
    <w:p>
      <w:r>
        <w:rPr>
          <w:b w:val="0"/>
          <w:i w:val="0"/>
          <w:sz w:val="21"/>
        </w:rPr>
        <w:t>Chair: Aisha, please walk us through the Q1 numbers.</w:t>
      </w:r>
    </w:p>
    <w:p>
      <w:r>
        <w:rPr>
          <w:b w:val="0"/>
          <w:i w:val="0"/>
          <w:sz w:val="21"/>
        </w:rPr>
        <w:t>Ms Aisha Tan (Group CTO): Thank you, Chair. Group technology spend for the first quarter is RM 23.1 million against a quarterly budget of RM 22.4 million, a 3.1% adverse variance for the quarter. The number is uncomfortable for two reasons. First, five cost centres are running adverse to budget. Tech Risk &amp; RMiT Compliance has already breached the 10% corrective-action trigger at 12% Q1 variance and is Red. Core Platform, Data &amp; Analytics, Cloud &amp; Infrastructure and Innovation &amp; AI Lab are Amber (5 to 9 percent over). Second, the run rate in those five centres is still climbing. Cybersecurity Operations is Green at quarter end but the incident response retainer was renegotiated upward in March and Q2 actuals will move it Amber. The two largest absolute variances at quarter end are Core Insurance Platform, driven by integration scope creep with Skylane, and Data &amp; Analytics, driven by cloud egress and licence overruns on the lakehouse build.</w:t>
      </w:r>
    </w:p>
    <w:p>
      <w:r>
        <w:rPr>
          <w:b w:val="0"/>
          <w:i w:val="0"/>
          <w:sz w:val="21"/>
        </w:rPr>
        <w:t>Ms Sarah Khoo (CFO): Aisha, what is the full-year forecast exposure if those five centres continue at the current run rate, with Cyber moving Amber in Q2?</w:t>
      </w:r>
    </w:p>
    <w:p>
      <w:r>
        <w:rPr>
          <w:b w:val="0"/>
          <w:i w:val="0"/>
          <w:sz w:val="21"/>
        </w:rPr>
        <w:t>Ms Aisha Tan: Worst-case full-year, RM 8.7 million above budget, with Core Platform programme contributing roughly RM 3.8 million of that. The Q1 number is small but the trajectory is the issue.</w:t>
      </w:r>
    </w:p>
    <w:p>
      <w:r>
        <w:rPr>
          <w:b w:val="0"/>
          <w:i w:val="0"/>
          <w:sz w:val="21"/>
        </w:rPr>
        <w:t>Encik Faizal (CEO): That is material. We need a corrective action plan back to this Committee.</w:t>
      </w:r>
    </w:p>
    <w:p>
      <w:r>
        <w:rPr>
          <w:b/>
          <w:i w:val="0"/>
          <w:sz w:val="21"/>
        </w:rPr>
        <w:t>Resolution BTRC-2026-Q1-02: The Committee directed the Group CTO to submit a corrective action plan for all five adverse cost centres (one Red and four Amber) by 30 April 2026, including a re-baselined full-year forecast.</w:t>
      </w:r>
    </w:p>
    <w:p>
      <w:r>
        <w:rPr>
          <w:b/>
          <w:i w:val="0"/>
          <w:sz w:val="21"/>
        </w:rPr>
        <w:t>Action 1 — Owner: Group CTO. Due: 30 April 2026. Priority: HIGH.</w:t>
      </w:r>
    </w:p>
    <w:p/>
    <w:p>
      <w:r>
        <w:rPr>
          <w:b/>
          <w:color w:val="1E3A5F"/>
          <w:sz w:val="28"/>
        </w:rPr>
        <w:t>3.  Cyber Posture &amp; Incident Update</w:t>
      </w:r>
    </w:p>
    <w:p>
      <w:r>
        <w:rPr>
          <w:b w:val="0"/>
          <w:i w:val="0"/>
          <w:sz w:val="21"/>
        </w:rPr>
        <w:t>Mr Vikram Subramaniam (CISO): Three notable items this quarter. First, the November phishing-led credential compromise has now been fully contained; post-incident review concluded no Customer Data was exfiltrated, but BNM notification was made within the 24-hour window. Second, we have completed rollout of phishing-resistant MFA to all privileged accounts. Third, the external penetration test for the customer portal returned two HIGH findings which are being remediated by the Skylane managed-services team.</w:t>
      </w:r>
    </w:p>
    <w:p>
      <w:r>
        <w:rPr>
          <w:b w:val="0"/>
          <w:i w:val="0"/>
          <w:sz w:val="21"/>
        </w:rPr>
        <w:t>Tan Sri Ahmad Razif: Vikram, are the two HIGH findings within Skylane's remediation SLAs?</w:t>
      </w:r>
    </w:p>
    <w:p>
      <w:r>
        <w:rPr>
          <w:b w:val="0"/>
          <w:i w:val="0"/>
          <w:sz w:val="21"/>
        </w:rPr>
        <w:t>Mr Vikram Subramaniam: One is, one is not. The one that is not relates to a third-party library used by Skylane that is outside our direct contract.</w:t>
      </w:r>
    </w:p>
    <w:p>
      <w:r>
        <w:rPr>
          <w:b/>
          <w:i w:val="0"/>
          <w:sz w:val="21"/>
        </w:rPr>
        <w:t>Resolution BTRC-2026-Q1-03: The Committee noted the cyber update and directed the CISO and Head of Tech Risk to bring a status report on the two outstanding HIGH penetration test findings to the next meeting.</w:t>
      </w:r>
    </w:p>
    <w:p>
      <w:r>
        <w:rPr>
          <w:b/>
          <w:i w:val="0"/>
          <w:sz w:val="21"/>
        </w:rPr>
        <w:t>Action 2 — Owner: Group CISO. Due: 15 May 2026. Priority: HIGH.</w:t>
      </w:r>
    </w:p>
    <w:p>
      <w:r>
        <w:rPr>
          <w:b/>
          <w:i w:val="0"/>
          <w:sz w:val="21"/>
        </w:rPr>
        <w:t>Action 3 — Owner: Head of Group Tech Risk. Due: 15 May 2026. Priority: HIGH.</w:t>
      </w:r>
    </w:p>
    <w:p/>
    <w:p>
      <w:r>
        <w:rPr>
          <w:b/>
          <w:color w:val="1E3A5F"/>
          <w:sz w:val="28"/>
        </w:rPr>
        <w:t>4.  Skylane Cloud Solutions — Managed Services Renewal</w:t>
      </w:r>
    </w:p>
    <w:p>
      <w:r>
        <w:rPr>
          <w:b w:val="0"/>
          <w:i w:val="0"/>
          <w:sz w:val="21"/>
        </w:rPr>
        <w:t>Chair: This is the item we flagged at the last meeting. Aisha?</w:t>
      </w:r>
    </w:p>
    <w:p>
      <w:r>
        <w:rPr>
          <w:b w:val="0"/>
          <w:i w:val="0"/>
          <w:sz w:val="21"/>
        </w:rPr>
        <w:t>Ms Aisha Tan: The current Master Managed Services Agreement with Skylane runs until 31 December 2026. Tech Risk has reviewed the contract and identified four clauses that materially diverge from our Group Vendor Risk Management Standard. These are: a 30-day non-renewal notice that falls below our 90-day standard; a data ownership clause that vests derived data in Skylane; a liability cap of six months of fees against our 12-month minimum; and an audit rights clause that places audit costs on us and limits scope to records Skylane agrees in writing are in scope.</w:t>
      </w:r>
    </w:p>
    <w:p>
      <w:r>
        <w:rPr>
          <w:b w:val="0"/>
          <w:i w:val="0"/>
          <w:sz w:val="21"/>
        </w:rPr>
        <w:t>Ms Yamamoto Hiroko: That liability cap concerns me. Rivanta group standard is 12 months minimum.</w:t>
      </w:r>
    </w:p>
    <w:p>
      <w:r>
        <w:rPr>
          <w:b w:val="0"/>
          <w:i w:val="0"/>
          <w:sz w:val="21"/>
        </w:rPr>
        <w:t>Encik Rizwan Hamid (Head of Tech Risk): Agreed. We are also concerned that the cloud pass-through clause prevents us from auditing the underlying cloud supplier invoices, which is a control gap under RMiT.</w:t>
      </w:r>
    </w:p>
    <w:p>
      <w:r>
        <w:rPr>
          <w:b/>
          <w:i w:val="0"/>
          <w:sz w:val="21"/>
        </w:rPr>
        <w:t>Resolution BTRC-2026-Q1-04: The Committee instructed the Group CTO to commence renegotiation of the Skylane contract prior to the auto-renewal trigger date, with Group Legal and Group Tech Risk leading the four flagged clauses.</w:t>
      </w:r>
    </w:p>
    <w:p>
      <w:r>
        <w:rPr>
          <w:b/>
          <w:i w:val="0"/>
          <w:sz w:val="21"/>
        </w:rPr>
        <w:t>Action 4 — Owner: Group CTO. Due: 30 September 2026. Priority: HIGH.</w:t>
      </w:r>
    </w:p>
    <w:p>
      <w:r>
        <w:rPr>
          <w:b/>
          <w:i w:val="0"/>
          <w:sz w:val="21"/>
        </w:rPr>
        <w:t>Action 5 — Owner: Group Legal. Due: 30 September 2026. Priority: HIGH.</w:t>
      </w:r>
    </w:p>
    <w:p/>
    <w:p>
      <w:r>
        <w:rPr>
          <w:b/>
          <w:color w:val="1E3A5F"/>
          <w:sz w:val="28"/>
        </w:rPr>
        <w:t>5.  Core Insurance Platform Modernisation — Project Health Check</w:t>
      </w:r>
    </w:p>
    <w:p>
      <w:r>
        <w:rPr>
          <w:b w:val="0"/>
          <w:i w:val="0"/>
          <w:sz w:val="21"/>
        </w:rPr>
        <w:t>Ms Aisha Tan: The Core Platform programme is forecast to land RM 3.8 million above its RM 18.0 million approved budget, and the integration timeline has slipped by two quarters. The principal driver is unanticipated integration scope around legacy reinsurance feeds.</w:t>
      </w:r>
    </w:p>
    <w:p>
      <w:r>
        <w:rPr>
          <w:b w:val="0"/>
          <w:i w:val="0"/>
          <w:sz w:val="21"/>
        </w:rPr>
        <w:t>Encik Faizal (CEO): Are we re-baselining or absorbing?</w:t>
      </w:r>
    </w:p>
    <w:p>
      <w:r>
        <w:rPr>
          <w:b w:val="0"/>
          <w:i w:val="0"/>
          <w:sz w:val="21"/>
        </w:rPr>
        <w:t>Ms Aisha Tan: We are recommending a re-baseline through a Project Change Request to be tabled at the next BTRC.</w:t>
      </w:r>
    </w:p>
    <w:p>
      <w:r>
        <w:rPr>
          <w:b/>
          <w:i w:val="0"/>
          <w:sz w:val="21"/>
        </w:rPr>
        <w:t>Resolution BTRC-2026-Q1-05: The Committee acknowledged the slippage and requested a formal Project Change Request including revised business case and benefit realisation outlook at the next meeting.</w:t>
      </w:r>
    </w:p>
    <w:p>
      <w:r>
        <w:rPr>
          <w:b/>
          <w:i w:val="0"/>
          <w:sz w:val="21"/>
        </w:rPr>
        <w:t>Action 6 — Owner: Group CTO. Due: 30 June 2026. Priority: HIGH.</w:t>
      </w:r>
    </w:p>
    <w:p/>
    <w:p>
      <w:r>
        <w:rPr>
          <w:b/>
          <w:color w:val="1E3A5F"/>
          <w:sz w:val="28"/>
        </w:rPr>
        <w:t>6.  RMiT Self-Assessment Update</w:t>
      </w:r>
    </w:p>
    <w:p>
      <w:r>
        <w:rPr>
          <w:b w:val="0"/>
          <w:i w:val="0"/>
          <w:sz w:val="21"/>
        </w:rPr>
        <w:t>Encik Rizwan Hamid: We have completed 87% of the RMiT self-assessment questionnaire. Three control areas remain partially compliant: cloud third-party due diligence, encryption key management, and incident response playbook for supplier-originated incidents. Remediation plans are in place for all three.</w:t>
      </w:r>
    </w:p>
    <w:p>
      <w:r>
        <w:rPr>
          <w:b/>
          <w:i w:val="0"/>
          <w:sz w:val="21"/>
        </w:rPr>
        <w:t>Resolution BTRC-2026-Q1-06: The Committee directed that the three partially compliant RMiT control areas be remediated and re-attested before the BNM submission deadline.</w:t>
      </w:r>
    </w:p>
    <w:p>
      <w:r>
        <w:rPr>
          <w:b/>
          <w:i w:val="0"/>
          <w:sz w:val="21"/>
        </w:rPr>
        <w:t>Action 7 — Owner: Head of Group Tech Risk. Due: 31 July 2026. Priority: HIGH.</w:t>
      </w:r>
    </w:p>
    <w:p/>
    <w:p>
      <w:r>
        <w:rPr>
          <w:b/>
          <w:color w:val="1E3A5F"/>
          <w:sz w:val="28"/>
        </w:rPr>
        <w:t>7.  AI / Generative AI Policy Position</w:t>
      </w:r>
    </w:p>
    <w:p>
      <w:r>
        <w:rPr>
          <w:b w:val="0"/>
          <w:i w:val="0"/>
          <w:sz w:val="21"/>
        </w:rPr>
        <w:t>Ms Aisha Tan: Innovation Lab has piloted generative AI for underwriting triage with two underwriting teams, and we are seeing material time saving on submission triage. We need a Group-level AI Acceptable Use Policy before we expand the pilot, as well as alignment to Rivanta Holdings' AI principles.</w:t>
      </w:r>
    </w:p>
    <w:p>
      <w:r>
        <w:rPr>
          <w:b w:val="0"/>
          <w:i w:val="0"/>
          <w:sz w:val="21"/>
        </w:rPr>
        <w:t>Encik Faizal (CEO): I support a measured expansion, but not without policy.</w:t>
      </w:r>
    </w:p>
    <w:p>
      <w:r>
        <w:rPr>
          <w:b/>
          <w:i w:val="0"/>
          <w:sz w:val="21"/>
        </w:rPr>
        <w:t>Resolution BTRC-2026-Q1-07: The Committee directed the Group CTO and Group Tech Risk to submit a draft Group AI Acceptable Use Policy for approval at the next BTRC.</w:t>
      </w:r>
    </w:p>
    <w:p>
      <w:r>
        <w:rPr>
          <w:b/>
          <w:i w:val="0"/>
          <w:sz w:val="21"/>
        </w:rPr>
        <w:t>Action 8 — Owner: Group CTO. Due: 30 May 2026. Priority: MEDIUM.</w:t>
      </w:r>
    </w:p>
    <w:p>
      <w:r>
        <w:rPr>
          <w:b/>
          <w:i w:val="0"/>
          <w:sz w:val="21"/>
        </w:rPr>
        <w:t>Action 9 — Owner: Head of Group Tech Risk. Due: 30 May 2026. Priority: MEDIUM.</w:t>
      </w:r>
    </w:p>
    <w:p/>
    <w:p>
      <w:r>
        <w:rPr>
          <w:b/>
          <w:color w:val="1E3A5F"/>
          <w:sz w:val="28"/>
        </w:rPr>
        <w:t>8.  Any Other Business</w:t>
      </w:r>
    </w:p>
    <w:p>
      <w:r>
        <w:rPr>
          <w:b w:val="0"/>
          <w:i w:val="0"/>
          <w:sz w:val="21"/>
        </w:rPr>
        <w:t>Ms Yamamoto Hiroko: I would request a short briefing at the next meeting on the M365 Copilot rollout, both adoption metrics and any data-loss prevention considerations.</w:t>
      </w:r>
    </w:p>
    <w:p>
      <w:r>
        <w:rPr>
          <w:b/>
          <w:i w:val="0"/>
          <w:sz w:val="21"/>
        </w:rPr>
        <w:t>Resolution BTRC-2026-Q1-08: A briefing on M365 Copilot adoption and DLP posture to be tabled at the next BTRC.</w:t>
      </w:r>
    </w:p>
    <w:p>
      <w:r>
        <w:rPr>
          <w:b/>
          <w:i w:val="0"/>
          <w:sz w:val="21"/>
        </w:rPr>
        <w:t>Action 10 — Owner: Group CTO. Due: 15 May 2026. Priority: MEDIUM.</w:t>
      </w:r>
    </w:p>
    <w:p/>
    <w:p>
      <w:r>
        <w:rPr>
          <w:b/>
          <w:color w:val="1E3A5F"/>
          <w:sz w:val="28"/>
        </w:rPr>
        <w:t>Close of Meeting</w:t>
      </w:r>
    </w:p>
    <w:p>
      <w:r>
        <w:rPr>
          <w:b w:val="0"/>
          <w:i w:val="0"/>
          <w:sz w:val="21"/>
        </w:rPr>
        <w:t>Chair: There being no further business, the meeting closed at 11:32. The next BTRC is scheduled for 14 July 2026.</w:t>
      </w:r>
    </w:p>
    <w:p>
      <w:r>
        <w:rPr>
          <w:b w:val="0"/>
          <w:i w:val="0"/>
          <w:sz w:val="21"/>
        </w:rPr>
        <w:t>Signed: ____________________________   Dato' Sri Lim Wei Ming, Committee Chair</w:t>
      </w:r>
    </w:p>
    <w:p>
      <w:r>
        <w:rPr>
          <w:b w:val="0"/>
          <w:i w:val="0"/>
          <w:sz w:val="21"/>
        </w:rPr>
        <w:t>Date:  ____________________________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