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E3A5F"/>
          <w:sz w:val="40"/>
        </w:rPr>
        <w:t>Group Technology Governance Policy Manual</w:t>
      </w:r>
    </w:p>
    <w:p>
      <w:r>
        <w:rPr>
          <w:b/>
          <w:i w:val="0"/>
          <w:sz w:val="21"/>
        </w:rPr>
        <w:t>Rivanta General Insurance Berhad</w:t>
      </w:r>
    </w:p>
    <w:p>
      <w:r>
        <w:rPr>
          <w:b w:val="0"/>
          <w:i w:val="0"/>
          <w:sz w:val="21"/>
        </w:rPr>
        <w:t>Document Reference: Rivanta-POL-TECH-GOV-2026</w:t>
      </w:r>
    </w:p>
    <w:p>
      <w:r>
        <w:rPr>
          <w:b w:val="0"/>
          <w:i w:val="0"/>
          <w:sz w:val="21"/>
        </w:rPr>
        <w:t>Version 4.2 | Effective Date: 1 January 2026 | Next Review: 31 December 2026</w:t>
      </w:r>
    </w:p>
    <w:p>
      <w:r>
        <w:rPr>
          <w:b w:val="0"/>
          <w:i w:val="0"/>
          <w:sz w:val="21"/>
        </w:rPr>
        <w:t>Approved by: Board Technology &amp; Risk Committee, 14 January 2026</w:t>
      </w:r>
    </w:p>
    <w:p>
      <w:r>
        <w:rPr>
          <w:b w:val="0"/>
          <w:i w:val="0"/>
          <w:sz w:val="21"/>
        </w:rPr>
        <w:t>Owner: Office of the Group Chief Technology Officer</w:t>
      </w:r>
    </w:p>
    <w:p>
      <w:r>
        <w:rPr>
          <w:b w:val="0"/>
          <w:i w:val="0"/>
          <w:sz w:val="21"/>
        </w:rPr>
        <w:t>Distribution: All employees, contractors and authorised third parties</w:t>
      </w:r>
    </w:p>
    <w:p/>
    <w:p>
      <w:r>
        <w:rPr>
          <w:b/>
          <w:color w:val="1E3A5F"/>
          <w:sz w:val="28"/>
        </w:rPr>
        <w:t>Foreword</w:t>
      </w:r>
    </w:p>
    <w:p>
      <w:r>
        <w:rPr>
          <w:b w:val="0"/>
          <w:i w:val="0"/>
          <w:sz w:val="21"/>
        </w:rPr>
        <w:t>This Manual sets out the minimum mandatory requirements for the governance, management and use of technology across Rivanta General Insurance Berhad and its subsidiaries ("the Group"). It aligns to Bank Negara Malaysia's Risk Management in Technology (RMiT) policy document, the Outsourcing for Insurers and Takaful Operators policy, the Personal Data Protection Act 2010 (PDPA), and the relevant principles of the Rivanta Holdings global IT and security framework.</w:t>
      </w:r>
    </w:p>
    <w:p>
      <w:r>
        <w:rPr>
          <w:b w:val="0"/>
          <w:i w:val="0"/>
          <w:sz w:val="21"/>
        </w:rPr>
        <w:t>Where the Group's own standard is more stringent than the regulatory minimum, the Group's standard prevails.</w:t>
      </w:r>
    </w:p>
    <w:p/>
    <w:p>
      <w:r>
        <w:rPr>
          <w:b/>
          <w:color w:val="1E3A5F"/>
          <w:sz w:val="28"/>
        </w:rPr>
        <w:t>1.  IT Investment &amp; Approval Authorities</w:t>
      </w:r>
    </w:p>
    <w:p>
      <w:r>
        <w:rPr>
          <w:b w:val="0"/>
          <w:i w:val="0"/>
          <w:sz w:val="21"/>
        </w:rPr>
        <w:t>1.1  All technology investment, whether capital or operating expenditure, must be approved within the authority limits set out in Schedule A of this Manual.</w:t>
      </w:r>
    </w:p>
    <w:p>
      <w:r>
        <w:rPr>
          <w:b w:val="0"/>
          <w:i w:val="0"/>
          <w:sz w:val="21"/>
        </w:rPr>
        <w:t>1.2  Approval thresholds for IT capital expenditure:  (a) up to RM 250,000 — Group CTO;  (b) RM 250,001 to RM 1,000,000 — Group CTO with concurrence of Group CFO;  (c) RM 1,000,001 to RM 5,000,000 — Group CEO;  (d) above RM 5,000,000 — Board Technology &amp; Risk Committee.</w:t>
      </w:r>
    </w:p>
    <w:p>
      <w:r>
        <w:rPr>
          <w:b w:val="0"/>
          <w:i w:val="0"/>
          <w:sz w:val="21"/>
        </w:rPr>
        <w:t>1.3  Any single technology engagement with a multi-year value above RM 3 million must be tabled to the BTRC regardless of the annual cash flow profile.</w:t>
      </w:r>
    </w:p>
    <w:p>
      <w:r>
        <w:rPr>
          <w:b w:val="0"/>
          <w:i w:val="0"/>
          <w:sz w:val="21"/>
        </w:rPr>
        <w:t>1.4  Variances above 10% against an approved business case must be re-tabled to the original approval authority.</w:t>
      </w:r>
    </w:p>
    <w:p/>
    <w:p>
      <w:r>
        <w:rPr>
          <w:b/>
          <w:color w:val="1E3A5F"/>
          <w:sz w:val="28"/>
        </w:rPr>
        <w:t>2.  Procurement &amp; Vendor Selection</w:t>
      </w:r>
    </w:p>
    <w:p>
      <w:r>
        <w:rPr>
          <w:b w:val="0"/>
          <w:i w:val="0"/>
          <w:sz w:val="21"/>
        </w:rPr>
        <w:t>2.1  Single-source procurement is prohibited above RM 100,000 unless an exemption is approved by the Group CTO and Head of Group Vendor Management.</w:t>
      </w:r>
    </w:p>
    <w:p>
      <w:r>
        <w:rPr>
          <w:b w:val="0"/>
          <w:i w:val="0"/>
          <w:sz w:val="21"/>
        </w:rPr>
        <w:t>2.2  Formal Request for Proposal (RFP) is required for technology engagements with a contract value above RM 500,000.</w:t>
      </w:r>
    </w:p>
    <w:p>
      <w:r>
        <w:rPr>
          <w:b w:val="0"/>
          <w:i w:val="0"/>
          <w:sz w:val="21"/>
        </w:rPr>
        <w:t>2.3  All technology vendors must complete the Group Vendor Due Diligence Questionnaire prior to contract award, including assessment under BNM RMiT third-party requirements.</w:t>
      </w:r>
    </w:p>
    <w:p>
      <w:r>
        <w:rPr>
          <w:b w:val="0"/>
          <w:i w:val="0"/>
          <w:sz w:val="21"/>
        </w:rPr>
        <w:t>2.4  Technology contracts must include a right for Rivanta and BNM to audit the supplier on no less than ten (10) business days' notice, at the supplier's cost where a control failure is identified.</w:t>
      </w:r>
    </w:p>
    <w:p/>
    <w:p>
      <w:r>
        <w:rPr>
          <w:b/>
          <w:color w:val="1E3A5F"/>
          <w:sz w:val="28"/>
        </w:rPr>
        <w:t>3.  Contract Standards for Technology Vendors</w:t>
      </w:r>
    </w:p>
    <w:p>
      <w:r>
        <w:rPr>
          <w:b w:val="0"/>
          <w:i w:val="0"/>
          <w:sz w:val="21"/>
        </w:rPr>
        <w:t>3.1  Notice period for non-renewal of any technology contract must be no less than ninety (90) days. Auto-renewal clauses with shorter notice periods are not permitted.</w:t>
      </w:r>
    </w:p>
    <w:p>
      <w:r>
        <w:rPr>
          <w:b w:val="0"/>
          <w:i w:val="0"/>
          <w:sz w:val="21"/>
        </w:rPr>
        <w:t>3.2  Liability caps in technology contracts must be no less than twelve (12) months of fees, and unlimited for breach of confidentiality, breach of data protection obligations, and gross negligence.</w:t>
      </w:r>
    </w:p>
    <w:p>
      <w:r>
        <w:rPr>
          <w:b w:val="0"/>
          <w:i w:val="0"/>
          <w:sz w:val="21"/>
        </w:rPr>
        <w:t>3.3  All Customer Data and any data derived from Customer Data, including aggregated, de-identified or statistical data, must remain the exclusive property of Rivanta General Insurance Berhad. Suppliers may not retain, reuse or commercialise such data without express prior written consent of the Group CTO and Group CFO.</w:t>
      </w:r>
    </w:p>
    <w:p>
      <w:r>
        <w:rPr>
          <w:b w:val="0"/>
          <w:i w:val="0"/>
          <w:sz w:val="21"/>
        </w:rPr>
        <w:t>3.4  Pass-through and indexed charges must be supported by audit rights over the underlying supplier invoices.</w:t>
      </w:r>
    </w:p>
    <w:p>
      <w:r>
        <w:rPr>
          <w:b w:val="0"/>
          <w:i w:val="0"/>
          <w:sz w:val="21"/>
        </w:rPr>
        <w:t>3.5  Service credits are not the sole remedy for performance failure that constitutes a material breach.</w:t>
      </w:r>
    </w:p>
    <w:p/>
    <w:p>
      <w:r>
        <w:rPr>
          <w:b/>
          <w:color w:val="1E3A5F"/>
          <w:sz w:val="28"/>
        </w:rPr>
        <w:t>4.  RMiT Compliance &amp; Tech Risk Management</w:t>
      </w:r>
    </w:p>
    <w:p>
      <w:r>
        <w:rPr>
          <w:b w:val="0"/>
          <w:i w:val="0"/>
          <w:sz w:val="21"/>
        </w:rPr>
        <w:t>4.1  The Group shall maintain an up-to-date self-assessment against BNM RMiT control areas. The self-assessment is reviewed quarterly by the Group Tech Risk function and reported to the BTRC.</w:t>
      </w:r>
    </w:p>
    <w:p>
      <w:r>
        <w:rPr>
          <w:b w:val="0"/>
          <w:i w:val="0"/>
          <w:sz w:val="21"/>
        </w:rPr>
        <w:t>4.2  Any control gap rated MEDIUM or HIGH must have a remediation plan with a named owner and target date within thirty (30) days of identification.</w:t>
      </w:r>
    </w:p>
    <w:p>
      <w:r>
        <w:rPr>
          <w:b w:val="0"/>
          <w:i w:val="0"/>
          <w:sz w:val="21"/>
        </w:rPr>
        <w:t>4.3  Material technology incidents (defined as those triggering BNM notification) must be reported to the Group CTO, CISO and Company Secretary within four (4) hours of detection.</w:t>
      </w:r>
    </w:p>
    <w:p/>
    <w:p>
      <w:r>
        <w:rPr>
          <w:b/>
          <w:color w:val="1E3A5F"/>
          <w:sz w:val="28"/>
        </w:rPr>
        <w:t>5.  Cybersecurity &amp; Data Protection</w:t>
      </w:r>
    </w:p>
    <w:p>
      <w:r>
        <w:rPr>
          <w:b w:val="0"/>
          <w:i w:val="0"/>
          <w:sz w:val="21"/>
        </w:rPr>
        <w:t>5.1  All systems processing Customer Data must enforce phishing-resistant multi-factor authentication for privileged access.</w:t>
      </w:r>
    </w:p>
    <w:p>
      <w:r>
        <w:rPr>
          <w:b w:val="0"/>
          <w:i w:val="0"/>
          <w:sz w:val="21"/>
        </w:rPr>
        <w:t>5.2  Data classified as Confidential or Restricted must be encrypted at rest and in transit using AES-256 or equivalent.</w:t>
      </w:r>
    </w:p>
    <w:p>
      <w:r>
        <w:rPr>
          <w:b w:val="0"/>
          <w:i w:val="0"/>
          <w:sz w:val="21"/>
        </w:rPr>
        <w:t>5.3  Cyber incidents involving personal data must trigger PDPA notification review within twenty-four (24) hours.</w:t>
      </w:r>
    </w:p>
    <w:p>
      <w:r>
        <w:rPr>
          <w:b w:val="0"/>
          <w:i w:val="0"/>
          <w:sz w:val="21"/>
        </w:rPr>
        <w:t>5.4  Penetration tests are required annually for all internet-facing customer systems and on every major release.</w:t>
      </w:r>
    </w:p>
    <w:p>
      <w:r>
        <w:rPr>
          <w:b w:val="0"/>
          <w:i w:val="0"/>
          <w:sz w:val="21"/>
        </w:rPr>
        <w:t>5.5  All Rivanta data residing with cloud or managed-service providers must remain within approved jurisdictions, with cross-border data transfer subject to Group CTO and Group CISO approval.</w:t>
      </w:r>
    </w:p>
    <w:p/>
    <w:p>
      <w:r>
        <w:rPr>
          <w:b/>
          <w:color w:val="1E3A5F"/>
          <w:sz w:val="28"/>
        </w:rPr>
        <w:t>6.  Cloud, Outsourcing &amp; Third-Party Risk</w:t>
      </w:r>
    </w:p>
    <w:p>
      <w:r>
        <w:rPr>
          <w:b w:val="0"/>
          <w:i w:val="0"/>
          <w:sz w:val="21"/>
        </w:rPr>
        <w:t>6.1  Outsourcing of any material technology function (as defined under BNM policy) requires prior BTRC approval and BNM notification where applicable.</w:t>
      </w:r>
    </w:p>
    <w:p>
      <w:r>
        <w:rPr>
          <w:b w:val="0"/>
          <w:i w:val="0"/>
          <w:sz w:val="21"/>
        </w:rPr>
        <w:t>6.2  Cloud service providers must be on the Group's approved provider list. Provisional approval may be granted by the Group CTO for ninety (90) days pending full assessment.</w:t>
      </w:r>
    </w:p>
    <w:p>
      <w:r>
        <w:rPr>
          <w:b w:val="0"/>
          <w:i w:val="0"/>
          <w:sz w:val="21"/>
        </w:rPr>
        <w:t>6.3  Concentration risk: no single supplier shall account for more than thirty percent (30%) of the Group's total technology operating expenditure without BTRC approval.</w:t>
      </w:r>
    </w:p>
    <w:p>
      <w:r>
        <w:rPr>
          <w:b w:val="0"/>
          <w:i w:val="0"/>
          <w:sz w:val="21"/>
        </w:rPr>
        <w:t>6.4  Exit plans are mandatory for all material outsourcing arrangements and must be reviewed annually.</w:t>
      </w:r>
    </w:p>
    <w:p/>
    <w:p>
      <w:r>
        <w:rPr>
          <w:b/>
          <w:color w:val="1E3A5F"/>
          <w:sz w:val="28"/>
        </w:rPr>
        <w:t>7.  AI &amp; Emerging Technology</w:t>
      </w:r>
    </w:p>
    <w:p>
      <w:r>
        <w:rPr>
          <w:b w:val="0"/>
          <w:i w:val="0"/>
          <w:sz w:val="21"/>
        </w:rPr>
        <w:t>7.1  Use of generative AI tools for processing Customer Data, underwriting decisions or claims decisions requires prior approval by the Group CTO, Group Chief Underwriting Officer and Group Tech Risk.</w:t>
      </w:r>
    </w:p>
    <w:p>
      <w:r>
        <w:rPr>
          <w:b w:val="0"/>
          <w:i w:val="0"/>
          <w:sz w:val="21"/>
        </w:rPr>
        <w:t>7.2  AI models used in regulated decisioning must have documented human review, explainability and bias-monitoring controls.</w:t>
      </w:r>
    </w:p>
    <w:p>
      <w:r>
        <w:rPr>
          <w:b w:val="0"/>
          <w:i w:val="0"/>
          <w:sz w:val="21"/>
        </w:rPr>
        <w:t>7.3  Rivanta Holdings AI Principles apply to all AI deployments across the Group.</w:t>
      </w:r>
    </w:p>
    <w:p>
      <w:r>
        <w:rPr>
          <w:b w:val="0"/>
          <w:i w:val="0"/>
          <w:sz w:val="21"/>
        </w:rPr>
        <w:t>7.4  AI use cases must complete an AI Risk Assessment prior to production deployment.</w:t>
      </w:r>
    </w:p>
    <w:p/>
    <w:p>
      <w:r>
        <w:rPr>
          <w:b/>
          <w:color w:val="1E3A5F"/>
          <w:sz w:val="28"/>
        </w:rPr>
        <w:t>8.  Project Delivery &amp; Change Management</w:t>
      </w:r>
    </w:p>
    <w:p>
      <w:r>
        <w:rPr>
          <w:b w:val="0"/>
          <w:i w:val="0"/>
          <w:sz w:val="21"/>
        </w:rPr>
        <w:t>8.1  All technology projects with a budget above RM 1 million must follow the Group Project Delivery Framework, with monthly reporting to the BTRC for projects above RM 5 million.</w:t>
      </w:r>
    </w:p>
    <w:p>
      <w:r>
        <w:rPr>
          <w:b w:val="0"/>
          <w:i w:val="0"/>
          <w:sz w:val="21"/>
        </w:rPr>
        <w:t>8.2  A formal Project Change Request is required for any scope, schedule or budget variance above 10% from the approved baseline.</w:t>
      </w:r>
    </w:p>
    <w:p>
      <w:r>
        <w:rPr>
          <w:b w:val="0"/>
          <w:i w:val="0"/>
          <w:sz w:val="21"/>
        </w:rPr>
        <w:t>8.3  All production changes to systems supporting policy administration, claims and finance must follow the Group Change Advisory Board process.</w:t>
      </w:r>
    </w:p>
    <w:p>
      <w:r>
        <w:rPr>
          <w:b w:val="0"/>
          <w:i w:val="0"/>
          <w:sz w:val="21"/>
        </w:rPr>
        <w:t>8.4  Emergency changes outside this process require post-event ratification by the Group CTO within two (2) business days.</w:t>
      </w:r>
    </w:p>
    <w:p/>
    <w:p>
      <w:r>
        <w:rPr>
          <w:b/>
          <w:color w:val="1E3A5F"/>
          <w:sz w:val="28"/>
        </w:rPr>
        <w:t>Schedule A — Approval Authority Matrix (Technology)</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E3A5F"/>
          </w:tcPr>
          <w:p>
            <w:r>
              <w:rPr>
                <w:b/>
                <w:color w:val="FFFFFF"/>
              </w:rPr>
              <w:t>Spend Tier (RM)</w:t>
            </w:r>
          </w:p>
        </w:tc>
        <w:tc>
          <w:tcPr>
            <w:tcW w:type="dxa" w:w="2880"/>
            <w:shd w:val="clear" w:color="auto" w:fill="1E3A5F"/>
          </w:tcPr>
          <w:p>
            <w:r>
              <w:rPr>
                <w:b/>
                <w:color w:val="FFFFFF"/>
              </w:rPr>
              <w:t>Capex / Multi-year Engagement</w:t>
            </w:r>
          </w:p>
        </w:tc>
        <w:tc>
          <w:tcPr>
            <w:tcW w:type="dxa" w:w="2880"/>
            <w:shd w:val="clear" w:color="auto" w:fill="1E3A5F"/>
          </w:tcPr>
          <w:p>
            <w:r>
              <w:rPr>
                <w:b/>
                <w:color w:val="FFFFFF"/>
              </w:rPr>
              <w:t>Opex / Single-year</w:t>
            </w:r>
          </w:p>
        </w:tc>
      </w:tr>
      <w:tr>
        <w:tc>
          <w:tcPr>
            <w:tcW w:type="dxa" w:w="2880"/>
          </w:tcPr>
          <w:p>
            <w:r>
              <w:t>≤ 250,000</w:t>
            </w:r>
          </w:p>
        </w:tc>
        <w:tc>
          <w:tcPr>
            <w:tcW w:type="dxa" w:w="2880"/>
          </w:tcPr>
          <w:p>
            <w:r>
              <w:t>Group CTO</w:t>
            </w:r>
          </w:p>
        </w:tc>
        <w:tc>
          <w:tcPr>
            <w:tcW w:type="dxa" w:w="2880"/>
          </w:tcPr>
          <w:p>
            <w:r>
              <w:t>Cost Centre Owner with CTO notification</w:t>
            </w:r>
          </w:p>
        </w:tc>
      </w:tr>
      <w:tr>
        <w:tc>
          <w:tcPr>
            <w:tcW w:type="dxa" w:w="2880"/>
          </w:tcPr>
          <w:p>
            <w:r>
              <w:t>250,001 – 1,000,000</w:t>
            </w:r>
          </w:p>
        </w:tc>
        <w:tc>
          <w:tcPr>
            <w:tcW w:type="dxa" w:w="2880"/>
          </w:tcPr>
          <w:p>
            <w:r>
              <w:t>Group CTO + Group CFO</w:t>
            </w:r>
          </w:p>
        </w:tc>
        <w:tc>
          <w:tcPr>
            <w:tcW w:type="dxa" w:w="2880"/>
          </w:tcPr>
          <w:p>
            <w:r>
              <w:t>Group CTO</w:t>
            </w:r>
          </w:p>
        </w:tc>
      </w:tr>
      <w:tr>
        <w:tc>
          <w:tcPr>
            <w:tcW w:type="dxa" w:w="2880"/>
          </w:tcPr>
          <w:p>
            <w:r>
              <w:t>1,000,001 – 5,000,000</w:t>
            </w:r>
          </w:p>
        </w:tc>
        <w:tc>
          <w:tcPr>
            <w:tcW w:type="dxa" w:w="2880"/>
          </w:tcPr>
          <w:p>
            <w:r>
              <w:t>Group CEO</w:t>
            </w:r>
          </w:p>
        </w:tc>
        <w:tc>
          <w:tcPr>
            <w:tcW w:type="dxa" w:w="2880"/>
          </w:tcPr>
          <w:p>
            <w:r>
              <w:t>Group CTO + Group CFO</w:t>
            </w:r>
          </w:p>
        </w:tc>
      </w:tr>
      <w:tr>
        <w:tc>
          <w:tcPr>
            <w:tcW w:type="dxa" w:w="2880"/>
          </w:tcPr>
          <w:p>
            <w:r>
              <w:t>5,000,001 – 10,000,000</w:t>
            </w:r>
          </w:p>
        </w:tc>
        <w:tc>
          <w:tcPr>
            <w:tcW w:type="dxa" w:w="2880"/>
          </w:tcPr>
          <w:p>
            <w:r>
              <w:t>Board Technology &amp; Risk Committee</w:t>
            </w:r>
          </w:p>
        </w:tc>
        <w:tc>
          <w:tcPr>
            <w:tcW w:type="dxa" w:w="2880"/>
          </w:tcPr>
          <w:p>
            <w:r>
              <w:t>Group CEO</w:t>
            </w:r>
          </w:p>
        </w:tc>
      </w:tr>
      <w:tr>
        <w:tc>
          <w:tcPr>
            <w:tcW w:type="dxa" w:w="2880"/>
          </w:tcPr>
          <w:p>
            <w:r>
              <w:t>&gt; 10,000,000</w:t>
            </w:r>
          </w:p>
        </w:tc>
        <w:tc>
          <w:tcPr>
            <w:tcW w:type="dxa" w:w="2880"/>
          </w:tcPr>
          <w:p>
            <w:r>
              <w:t>Full Board</w:t>
            </w:r>
          </w:p>
        </w:tc>
        <w:tc>
          <w:tcPr>
            <w:tcW w:type="dxa" w:w="2880"/>
          </w:tcPr>
          <w:p>
            <w:r>
              <w:t>Board Technology &amp; Risk Committee</w:t>
            </w:r>
          </w:p>
        </w:tc>
      </w:tr>
    </w:tbl>
    <w:p/>
    <w:p>
      <w:r>
        <w:rPr>
          <w:b/>
          <w:color w:val="1E3A5F"/>
          <w:sz w:val="28"/>
        </w:rPr>
        <w:t>Schedule B — Standard Contract Clause Requirements</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1E3A5F"/>
          </w:tcPr>
          <w:p>
            <w:r>
              <w:rPr>
                <w:b/>
                <w:color w:val="FFFFFF"/>
              </w:rPr>
              <w:t>Clause</w:t>
            </w:r>
          </w:p>
        </w:tc>
        <w:tc>
          <w:tcPr>
            <w:tcW w:type="dxa" w:w="4320"/>
            <w:shd w:val="clear" w:color="auto" w:fill="1E3A5F"/>
          </w:tcPr>
          <w:p>
            <w:r>
              <w:rPr>
                <w:b/>
                <w:color w:val="FFFFFF"/>
              </w:rPr>
              <w:t>Group Standard</w:t>
            </w:r>
          </w:p>
        </w:tc>
      </w:tr>
      <w:tr>
        <w:tc>
          <w:tcPr>
            <w:tcW w:type="dxa" w:w="4320"/>
          </w:tcPr>
          <w:p>
            <w:r>
              <w:t>Auto-renewal notice period</w:t>
            </w:r>
          </w:p>
        </w:tc>
        <w:tc>
          <w:tcPr>
            <w:tcW w:type="dxa" w:w="4320"/>
          </w:tcPr>
          <w:p>
            <w:r>
              <w:t>Minimum 90 days written notice</w:t>
            </w:r>
          </w:p>
        </w:tc>
      </w:tr>
      <w:tr>
        <w:tc>
          <w:tcPr>
            <w:tcW w:type="dxa" w:w="4320"/>
          </w:tcPr>
          <w:p>
            <w:r>
              <w:t>Liability cap</w:t>
            </w:r>
          </w:p>
        </w:tc>
        <w:tc>
          <w:tcPr>
            <w:tcW w:type="dxa" w:w="4320"/>
          </w:tcPr>
          <w:p>
            <w:r>
              <w:t>Minimum 12 months of fees; unlimited for confidentiality, data protection, gross negligence</w:t>
            </w:r>
          </w:p>
        </w:tc>
      </w:tr>
      <w:tr>
        <w:tc>
          <w:tcPr>
            <w:tcW w:type="dxa" w:w="4320"/>
          </w:tcPr>
          <w:p>
            <w:r>
              <w:t>Data ownership</w:t>
            </w:r>
          </w:p>
        </w:tc>
        <w:tc>
          <w:tcPr>
            <w:tcW w:type="dxa" w:w="4320"/>
          </w:tcPr>
          <w:p>
            <w:r>
              <w:t>All Customer Data and derived data remain exclusive property of Rivanta</w:t>
            </w:r>
          </w:p>
        </w:tc>
      </w:tr>
      <w:tr>
        <w:tc>
          <w:tcPr>
            <w:tcW w:type="dxa" w:w="4320"/>
          </w:tcPr>
          <w:p>
            <w:r>
              <w:t>Pass-through charges</w:t>
            </w:r>
          </w:p>
        </w:tc>
        <w:tc>
          <w:tcPr>
            <w:tcW w:type="dxa" w:w="4320"/>
          </w:tcPr>
          <w:p>
            <w:r>
              <w:t>Audit rights over underlying supplier invoices required</w:t>
            </w:r>
          </w:p>
        </w:tc>
      </w:tr>
      <w:tr>
        <w:tc>
          <w:tcPr>
            <w:tcW w:type="dxa" w:w="4320"/>
          </w:tcPr>
          <w:p>
            <w:r>
              <w:t>Audit rights</w:t>
            </w:r>
          </w:p>
        </w:tc>
        <w:tc>
          <w:tcPr>
            <w:tcW w:type="dxa" w:w="4320"/>
          </w:tcPr>
          <w:p>
            <w:r>
              <w:t>Rivanta and BNM right to audit on 10 business days' notice; supplier-cost where finding identified</w:t>
            </w:r>
          </w:p>
        </w:tc>
      </w:tr>
      <w:tr>
        <w:tc>
          <w:tcPr>
            <w:tcW w:type="dxa" w:w="4320"/>
          </w:tcPr>
          <w:p>
            <w:r>
              <w:t>Cyber incident notification</w:t>
            </w:r>
          </w:p>
        </w:tc>
        <w:tc>
          <w:tcPr>
            <w:tcW w:type="dxa" w:w="4320"/>
          </w:tcPr>
          <w:p>
            <w:r>
              <w:t>Within 4 hours to Group CTO/CISO; supports BNM 24-hour and PDPA timelines</w:t>
            </w:r>
          </w:p>
        </w:tc>
      </w:tr>
      <w:tr>
        <w:tc>
          <w:tcPr>
            <w:tcW w:type="dxa" w:w="4320"/>
          </w:tcPr>
          <w:p>
            <w:r>
              <w:t>Sub-contracting</w:t>
            </w:r>
          </w:p>
        </w:tc>
        <w:tc>
          <w:tcPr>
            <w:tcW w:type="dxa" w:w="4320"/>
          </w:tcPr>
          <w:p>
            <w:r>
              <w:t>Prior written consent of Group CTO required; principal supplier remains primarily liable</w:t>
            </w:r>
          </w:p>
        </w:tc>
      </w:tr>
      <w:tr>
        <w:tc>
          <w:tcPr>
            <w:tcW w:type="dxa" w:w="4320"/>
          </w:tcPr>
          <w:p>
            <w:r>
              <w:t>Termination for convenience</w:t>
            </w:r>
          </w:p>
        </w:tc>
        <w:tc>
          <w:tcPr>
            <w:tcW w:type="dxa" w:w="4320"/>
          </w:tcPr>
          <w:p>
            <w:r>
              <w:t>Permitted with no greater than 6 months' early termination charge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